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DBDD0" w14:textId="0735EAF4" w:rsidR="00A1028A" w:rsidRPr="000714AC" w:rsidRDefault="00A1028A" w:rsidP="00A1028A">
      <w:pPr>
        <w:pStyle w:val="3GPPHeader"/>
        <w:spacing w:after="60"/>
        <w:rPr>
          <w:sz w:val="32"/>
          <w:szCs w:val="32"/>
          <w:highlight w:val="yellow"/>
          <w:lang w:val="en-US"/>
        </w:rPr>
      </w:pPr>
      <w:bookmarkStart w:id="0" w:name="_GoBack"/>
      <w:bookmarkEnd w:id="0"/>
      <w:r w:rsidRPr="000714AC">
        <w:rPr>
          <w:lang w:val="en-US"/>
        </w:rPr>
        <w:t>3GPP TSG-RAN WG2 #11</w:t>
      </w:r>
      <w:r>
        <w:rPr>
          <w:lang w:val="en-US"/>
        </w:rPr>
        <w:t>2</w:t>
      </w:r>
      <w:r w:rsidRPr="000714AC">
        <w:rPr>
          <w:lang w:val="en-US"/>
        </w:rPr>
        <w:tab/>
      </w:r>
      <w:r w:rsidR="00232A40" w:rsidRPr="00232A40">
        <w:rPr>
          <w:sz w:val="32"/>
          <w:szCs w:val="32"/>
          <w:lang w:val="en-US"/>
        </w:rPr>
        <w:t>R2-2010167</w:t>
      </w:r>
    </w:p>
    <w:p w14:paraId="29E5D097" w14:textId="1D11A89F" w:rsidR="00CB5B60" w:rsidRPr="00663F19" w:rsidRDefault="00E50640" w:rsidP="00A1028A">
      <w:pPr>
        <w:pStyle w:val="3GPPHeader"/>
      </w:pPr>
      <w:r>
        <w:rPr>
          <w:lang w:val="en-US"/>
        </w:rPr>
        <w:t>E</w:t>
      </w:r>
      <w:r w:rsidR="00A1028A" w:rsidRPr="000969AA">
        <w:rPr>
          <w:lang w:val="en-US"/>
        </w:rPr>
        <w:t xml:space="preserve">-Meeting, </w:t>
      </w:r>
      <w:r w:rsidR="00A1028A">
        <w:rPr>
          <w:lang w:val="en-US"/>
        </w:rPr>
        <w:t>November 2</w:t>
      </w:r>
      <w:r w:rsidR="00A1028A" w:rsidRPr="001A1A35">
        <w:rPr>
          <w:vertAlign w:val="superscript"/>
          <w:lang w:val="en-US"/>
        </w:rPr>
        <w:t>nd</w:t>
      </w:r>
      <w:r w:rsidR="00A1028A">
        <w:rPr>
          <w:lang w:val="en-US"/>
        </w:rPr>
        <w:t xml:space="preserve"> </w:t>
      </w:r>
      <w:r w:rsidR="00A1028A" w:rsidRPr="000969AA">
        <w:rPr>
          <w:lang w:val="en-US"/>
        </w:rPr>
        <w:t xml:space="preserve">– </w:t>
      </w:r>
      <w:r w:rsidR="00A1028A">
        <w:rPr>
          <w:lang w:val="en-US"/>
        </w:rPr>
        <w:t>13</w:t>
      </w:r>
      <w:r w:rsidR="00A1028A" w:rsidRPr="000969AA">
        <w:rPr>
          <w:vertAlign w:val="superscript"/>
          <w:lang w:val="en-US"/>
        </w:rPr>
        <w:t>th</w:t>
      </w:r>
      <w:r w:rsidR="00A1028A" w:rsidRPr="000969AA">
        <w:rPr>
          <w:lang w:val="en-US"/>
        </w:rPr>
        <w:t>, 2020</w:t>
      </w:r>
      <w:r w:rsidR="00A1028A">
        <w:tab/>
        <w:t>Revision of R2-2007714</w:t>
      </w:r>
    </w:p>
    <w:p w14:paraId="271D2771" w14:textId="77777777" w:rsidR="004C09E6" w:rsidRPr="000714AC" w:rsidRDefault="004C09E6" w:rsidP="004C09E6">
      <w:pPr>
        <w:pStyle w:val="3GPPHeader"/>
        <w:rPr>
          <w:lang w:val="en-US"/>
        </w:rPr>
      </w:pPr>
    </w:p>
    <w:p w14:paraId="247ECFA0" w14:textId="0498FE3F" w:rsidR="004C09E6" w:rsidRPr="000714AC" w:rsidRDefault="004C09E6" w:rsidP="004C09E6">
      <w:pPr>
        <w:pStyle w:val="3GPPHeader"/>
        <w:rPr>
          <w:sz w:val="22"/>
          <w:szCs w:val="22"/>
          <w:lang w:val="en-US"/>
        </w:rPr>
      </w:pPr>
      <w:r w:rsidRPr="000714AC">
        <w:rPr>
          <w:sz w:val="22"/>
          <w:szCs w:val="22"/>
          <w:lang w:val="en-US"/>
        </w:rPr>
        <w:t>Agenda Item:</w:t>
      </w:r>
      <w:r w:rsidRPr="000714AC">
        <w:rPr>
          <w:sz w:val="22"/>
          <w:szCs w:val="22"/>
          <w:lang w:val="en-US"/>
        </w:rPr>
        <w:tab/>
      </w:r>
      <w:r w:rsidR="001106C0">
        <w:rPr>
          <w:sz w:val="22"/>
          <w:szCs w:val="22"/>
          <w:lang w:val="en-US"/>
        </w:rPr>
        <w:t>8</w:t>
      </w:r>
      <w:r w:rsidRPr="00A17F56">
        <w:rPr>
          <w:sz w:val="22"/>
          <w:szCs w:val="22"/>
          <w:lang w:val="en-US"/>
        </w:rPr>
        <w:t>.</w:t>
      </w:r>
      <w:r w:rsidR="001106C0" w:rsidRPr="00A17F56">
        <w:rPr>
          <w:sz w:val="22"/>
          <w:szCs w:val="22"/>
          <w:lang w:val="en-US"/>
        </w:rPr>
        <w:t>10</w:t>
      </w:r>
      <w:r w:rsidRPr="00A17F56">
        <w:rPr>
          <w:sz w:val="22"/>
          <w:szCs w:val="22"/>
          <w:lang w:val="en-US"/>
        </w:rPr>
        <w:t>.</w:t>
      </w:r>
      <w:r w:rsidR="001106C0" w:rsidRPr="00A17F56">
        <w:rPr>
          <w:sz w:val="22"/>
          <w:szCs w:val="22"/>
          <w:lang w:val="en-US"/>
        </w:rPr>
        <w:t>2</w:t>
      </w:r>
      <w:r w:rsidRPr="00A17F56">
        <w:rPr>
          <w:sz w:val="22"/>
          <w:szCs w:val="22"/>
          <w:lang w:val="en-US"/>
        </w:rPr>
        <w:t>.</w:t>
      </w:r>
      <w:r w:rsidR="00E50640">
        <w:rPr>
          <w:sz w:val="22"/>
          <w:szCs w:val="22"/>
          <w:lang w:val="en-US"/>
        </w:rPr>
        <w:t>3</w:t>
      </w:r>
    </w:p>
    <w:p w14:paraId="2FF00218" w14:textId="77777777" w:rsidR="004C09E6" w:rsidRPr="000714AC" w:rsidRDefault="004C09E6" w:rsidP="004C09E6">
      <w:pPr>
        <w:pStyle w:val="3GPPHeader"/>
        <w:rPr>
          <w:sz w:val="22"/>
          <w:szCs w:val="22"/>
          <w:lang w:val="en-US"/>
        </w:rPr>
      </w:pPr>
      <w:r w:rsidRPr="000714AC">
        <w:rPr>
          <w:sz w:val="22"/>
          <w:szCs w:val="22"/>
          <w:lang w:val="en-US"/>
        </w:rPr>
        <w:t>Source:</w:t>
      </w:r>
      <w:r w:rsidRPr="000714AC">
        <w:rPr>
          <w:sz w:val="22"/>
          <w:szCs w:val="22"/>
          <w:lang w:val="en-US"/>
        </w:rPr>
        <w:tab/>
        <w:t>Ericsson</w:t>
      </w:r>
    </w:p>
    <w:p w14:paraId="258D2BCF" w14:textId="05FCFB1E" w:rsidR="004C09E6" w:rsidRPr="000714AC" w:rsidRDefault="004C09E6" w:rsidP="004C09E6">
      <w:pPr>
        <w:pStyle w:val="3GPPHeader"/>
        <w:rPr>
          <w:sz w:val="22"/>
          <w:szCs w:val="22"/>
          <w:lang w:val="en-US"/>
        </w:rPr>
      </w:pPr>
      <w:r w:rsidRPr="000714AC">
        <w:rPr>
          <w:sz w:val="22"/>
          <w:szCs w:val="22"/>
          <w:lang w:val="en-US"/>
        </w:rPr>
        <w:t>Title:</w:t>
      </w:r>
      <w:r w:rsidRPr="000714AC">
        <w:rPr>
          <w:sz w:val="22"/>
          <w:szCs w:val="22"/>
          <w:lang w:val="en-US"/>
        </w:rPr>
        <w:tab/>
      </w:r>
      <w:r w:rsidR="00303FD7" w:rsidRPr="00001939">
        <w:rPr>
          <w:sz w:val="22"/>
          <w:szCs w:val="22"/>
          <w:lang w:val="en-US"/>
        </w:rPr>
        <w:t>On RLC</w:t>
      </w:r>
      <w:r w:rsidR="009124C4" w:rsidRPr="00001939">
        <w:rPr>
          <w:sz w:val="22"/>
          <w:szCs w:val="22"/>
          <w:lang w:val="en-US"/>
        </w:rPr>
        <w:t xml:space="preserve"> and PDCP</w:t>
      </w:r>
      <w:r w:rsidR="00303FD7" w:rsidRPr="00001939">
        <w:rPr>
          <w:sz w:val="22"/>
          <w:szCs w:val="22"/>
          <w:lang w:val="en-US"/>
        </w:rPr>
        <w:t xml:space="preserve"> for </w:t>
      </w:r>
      <w:r w:rsidR="006A6737" w:rsidRPr="00001939">
        <w:rPr>
          <w:sz w:val="22"/>
          <w:szCs w:val="22"/>
          <w:lang w:val="en-US"/>
        </w:rPr>
        <w:t>NTN</w:t>
      </w:r>
    </w:p>
    <w:p w14:paraId="33D67CEA" w14:textId="52243751" w:rsidR="004C09E6" w:rsidRPr="000714AC" w:rsidRDefault="004C09E6" w:rsidP="004C09E6">
      <w:pPr>
        <w:pStyle w:val="3GPPHeader"/>
        <w:rPr>
          <w:sz w:val="22"/>
          <w:szCs w:val="22"/>
          <w:lang w:val="en-US"/>
        </w:rPr>
      </w:pPr>
      <w:r w:rsidRPr="000714AC">
        <w:rPr>
          <w:sz w:val="22"/>
          <w:szCs w:val="22"/>
          <w:lang w:val="en-US"/>
        </w:rPr>
        <w:t>Document for:</w:t>
      </w:r>
      <w:r w:rsidRPr="000714AC">
        <w:rPr>
          <w:sz w:val="22"/>
          <w:szCs w:val="22"/>
          <w:lang w:val="en-US"/>
        </w:rPr>
        <w:tab/>
        <w:t>Discussion, Decision</w:t>
      </w:r>
    </w:p>
    <w:p w14:paraId="3B0736C7" w14:textId="229A80AA" w:rsidR="00A27876" w:rsidRPr="00A27876" w:rsidRDefault="00A27876" w:rsidP="00A27876">
      <w:pPr>
        <w:pStyle w:val="ListParagraph"/>
        <w:ind w:left="644"/>
        <w:rPr>
          <w:lang w:val="en-US"/>
        </w:rPr>
      </w:pPr>
    </w:p>
    <w:p w14:paraId="4682F93F" w14:textId="629ECA9D" w:rsidR="004C09E6" w:rsidRPr="000714AC" w:rsidRDefault="004C09E6" w:rsidP="004C09E6">
      <w:pPr>
        <w:pStyle w:val="Heading1"/>
        <w:rPr>
          <w:lang w:val="en-US"/>
        </w:rPr>
      </w:pPr>
      <w:r w:rsidRPr="000714AC">
        <w:rPr>
          <w:lang w:val="en-US"/>
        </w:rPr>
        <w:t>Introduction</w:t>
      </w:r>
    </w:p>
    <w:p w14:paraId="4BFF4697" w14:textId="708B796A" w:rsidR="00D40FD0" w:rsidRDefault="000714AC" w:rsidP="004C09E6">
      <w:pPr>
        <w:rPr>
          <w:rFonts w:eastAsia="PMingLiU"/>
          <w:lang w:val="en-US" w:eastAsia="zh-TW"/>
        </w:rPr>
      </w:pPr>
      <w:r w:rsidRPr="00445906">
        <w:rPr>
          <w:szCs w:val="20"/>
          <w:lang w:val="en-US"/>
        </w:rPr>
        <w:t>At</w:t>
      </w:r>
      <w:r w:rsidR="004C09E6" w:rsidRPr="00445906">
        <w:rPr>
          <w:szCs w:val="20"/>
          <w:lang w:val="en-US"/>
        </w:rPr>
        <w:t xml:space="preserve"> </w:t>
      </w:r>
      <w:r w:rsidRPr="00445906">
        <w:rPr>
          <w:szCs w:val="20"/>
          <w:lang w:val="en-US"/>
        </w:rPr>
        <w:t xml:space="preserve">the </w:t>
      </w:r>
      <w:r w:rsidR="004C09E6" w:rsidRPr="00445906">
        <w:rPr>
          <w:szCs w:val="20"/>
          <w:lang w:val="en-US"/>
        </w:rPr>
        <w:t>RAN#8</w:t>
      </w:r>
      <w:r w:rsidRPr="00445906">
        <w:rPr>
          <w:szCs w:val="20"/>
          <w:lang w:val="en-US"/>
        </w:rPr>
        <w:t>6 meeting</w:t>
      </w:r>
      <w:r w:rsidR="004C09E6" w:rsidRPr="00445906">
        <w:rPr>
          <w:szCs w:val="20"/>
          <w:lang w:val="en-US"/>
        </w:rPr>
        <w:t xml:space="preserve">, </w:t>
      </w:r>
      <w:r w:rsidRPr="00445906">
        <w:rPr>
          <w:rStyle w:val="normaltextrun"/>
          <w:color w:val="000000"/>
          <w:szCs w:val="20"/>
          <w:lang w:val="en-US"/>
        </w:rPr>
        <w:t xml:space="preserve">the Study Item on </w:t>
      </w:r>
      <w:r w:rsidR="002C011C" w:rsidRPr="00445906">
        <w:rPr>
          <w:rStyle w:val="normaltextrun"/>
          <w:color w:val="000000"/>
          <w:szCs w:val="20"/>
          <w:lang w:val="en-US"/>
        </w:rPr>
        <w:t>“</w:t>
      </w:r>
      <w:r w:rsidR="002C011C" w:rsidRPr="00445906">
        <w:rPr>
          <w:rStyle w:val="normaltextrun"/>
          <w:szCs w:val="20"/>
          <w:lang w:val="en-US"/>
        </w:rPr>
        <w:t xml:space="preserve">Study on solutions for </w:t>
      </w:r>
      <w:r w:rsidRPr="00445906">
        <w:rPr>
          <w:rStyle w:val="normaltextrun"/>
          <w:color w:val="000000"/>
          <w:szCs w:val="20"/>
          <w:lang w:val="en-US"/>
        </w:rPr>
        <w:t>NR</w:t>
      </w:r>
      <w:r w:rsidR="002C011C" w:rsidRPr="00445906">
        <w:rPr>
          <w:rStyle w:val="normaltextrun"/>
          <w:color w:val="000000"/>
          <w:szCs w:val="20"/>
          <w:lang w:val="en-US"/>
        </w:rPr>
        <w:t xml:space="preserve"> to</w:t>
      </w:r>
      <w:r w:rsidRPr="00445906">
        <w:rPr>
          <w:rStyle w:val="normaltextrun"/>
          <w:color w:val="000000"/>
          <w:szCs w:val="20"/>
          <w:lang w:val="en-US"/>
        </w:rPr>
        <w:t xml:space="preserve"> support non-terrestrial network” </w:t>
      </w:r>
      <w:r w:rsidR="002C011C" w:rsidRPr="00445906">
        <w:rPr>
          <w:rStyle w:val="normaltextrun"/>
          <w:color w:val="000000"/>
          <w:szCs w:val="20"/>
          <w:lang w:val="en-US"/>
        </w:rPr>
        <w:t>was completed</w:t>
      </w:r>
      <w:r w:rsidRPr="00445906">
        <w:rPr>
          <w:rStyle w:val="normaltextrun"/>
          <w:color w:val="000000"/>
          <w:szCs w:val="20"/>
          <w:lang w:val="en-US"/>
        </w:rPr>
        <w:t xml:space="preserve"> </w:t>
      </w:r>
      <w:r w:rsidRPr="00445906">
        <w:rPr>
          <w:rStyle w:val="normaltextrun"/>
          <w:color w:val="000000"/>
          <w:szCs w:val="20"/>
          <w:shd w:val="clear" w:color="auto" w:fill="E1E3E6"/>
          <w:lang w:val="en-US"/>
        </w:rPr>
        <w:t>[1]</w:t>
      </w:r>
      <w:r w:rsidRPr="00445906">
        <w:rPr>
          <w:rStyle w:val="normaltextrun"/>
          <w:color w:val="000000"/>
          <w:szCs w:val="20"/>
          <w:lang w:val="en-US"/>
        </w:rPr>
        <w:t xml:space="preserve"> and the corresponding work item was approved </w:t>
      </w:r>
      <w:r w:rsidRPr="00445906">
        <w:rPr>
          <w:rStyle w:val="normaltextrun"/>
          <w:color w:val="000000"/>
          <w:szCs w:val="20"/>
          <w:shd w:val="clear" w:color="auto" w:fill="E1E3E6"/>
          <w:lang w:val="en-US"/>
        </w:rPr>
        <w:t xml:space="preserve">[2]. </w:t>
      </w:r>
      <w:r w:rsidR="004C09E6" w:rsidRPr="00445906">
        <w:rPr>
          <w:szCs w:val="20"/>
          <w:lang w:val="en-US"/>
        </w:rPr>
        <w:t>Th</w:t>
      </w:r>
      <w:r w:rsidRPr="00445906">
        <w:rPr>
          <w:szCs w:val="20"/>
          <w:lang w:val="en-US"/>
        </w:rPr>
        <w:t>e</w:t>
      </w:r>
      <w:r w:rsidR="004C09E6" w:rsidRPr="00445906">
        <w:rPr>
          <w:szCs w:val="20"/>
          <w:lang w:val="en-US"/>
        </w:rPr>
        <w:t xml:space="preserve"> new </w:t>
      </w:r>
      <w:r w:rsidRPr="00445906">
        <w:rPr>
          <w:szCs w:val="20"/>
          <w:lang w:val="en-US"/>
        </w:rPr>
        <w:t>work</w:t>
      </w:r>
      <w:r w:rsidR="004C09E6" w:rsidRPr="00445906">
        <w:rPr>
          <w:rFonts w:eastAsia="PMingLiU"/>
          <w:szCs w:val="20"/>
          <w:lang w:val="en-US" w:eastAsia="zh-TW"/>
        </w:rPr>
        <w:t xml:space="preserve"> item </w:t>
      </w:r>
      <w:r w:rsidRPr="00445906">
        <w:rPr>
          <w:rFonts w:eastAsia="PMingLiU"/>
          <w:szCs w:val="20"/>
          <w:lang w:val="en-US" w:eastAsia="zh-TW"/>
        </w:rPr>
        <w:t xml:space="preserve">aims to specify the enhancements identified for NR NTN and </w:t>
      </w:r>
      <w:r w:rsidR="004C09E6" w:rsidRPr="00445906">
        <w:rPr>
          <w:rFonts w:eastAsia="PMingLiU"/>
          <w:szCs w:val="20"/>
          <w:lang w:val="en-US" w:eastAsia="zh-TW"/>
        </w:rPr>
        <w:t xml:space="preserve">has the </w:t>
      </w:r>
      <w:r w:rsidR="00D40FD0" w:rsidRPr="00445906">
        <w:rPr>
          <w:rFonts w:eastAsia="PMingLiU"/>
          <w:szCs w:val="20"/>
          <w:lang w:val="en-US" w:eastAsia="zh-TW"/>
        </w:rPr>
        <w:t xml:space="preserve">following </w:t>
      </w:r>
      <w:r w:rsidRPr="00445906">
        <w:rPr>
          <w:rFonts w:eastAsia="PMingLiU"/>
          <w:szCs w:val="20"/>
          <w:lang w:val="en-US" w:eastAsia="zh-TW"/>
        </w:rPr>
        <w:t>RAN2</w:t>
      </w:r>
      <w:r>
        <w:rPr>
          <w:rFonts w:eastAsia="PMingLiU"/>
          <w:lang w:val="en-US" w:eastAsia="zh-TW"/>
        </w:rPr>
        <w:t xml:space="preserve"> </w:t>
      </w:r>
      <w:r w:rsidR="004C09E6" w:rsidRPr="000714AC">
        <w:rPr>
          <w:rFonts w:eastAsia="PMingLiU"/>
          <w:lang w:val="en-US" w:eastAsia="zh-TW"/>
        </w:rPr>
        <w:t>objective</w:t>
      </w:r>
      <w:r>
        <w:rPr>
          <w:rFonts w:eastAsia="PMingLiU"/>
          <w:lang w:val="en-US" w:eastAsia="zh-TW"/>
        </w:rPr>
        <w:t>s</w:t>
      </w:r>
      <w:r w:rsidR="002C011C">
        <w:rPr>
          <w:rFonts w:eastAsia="PMingLiU"/>
          <w:lang w:val="en-US" w:eastAsia="zh-TW"/>
        </w:rPr>
        <w:t xml:space="preserve"> on user plane aspects</w:t>
      </w:r>
      <w:r w:rsidR="00D40FD0">
        <w:rPr>
          <w:rFonts w:eastAsia="PMingLiU"/>
          <w:lang w:val="en-US" w:eastAsia="zh-TW"/>
        </w:rPr>
        <w:t>:</w:t>
      </w:r>
    </w:p>
    <w:p w14:paraId="67E46CFD"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MAC</w:t>
      </w:r>
    </w:p>
    <w:p w14:paraId="41362776"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Random access:</w:t>
      </w:r>
    </w:p>
    <w:p w14:paraId="5594B5E1"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Definition of an offset for the start of the ra-ResponseWindow for NTN.</w:t>
      </w:r>
    </w:p>
    <w:p w14:paraId="451254AD"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Introduction of an offset for the start of the ra-ContentionResolutionTimer to resolve Random access contention</w:t>
      </w:r>
    </w:p>
    <w:p w14:paraId="6B4745D0"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Solutions for resolving preamble ambiguity and extension of RAR window.</w:t>
      </w:r>
    </w:p>
    <w:p w14:paraId="284E3C04" w14:textId="77777777" w:rsidR="00D40FD0" w:rsidRPr="00D40FD0" w:rsidRDefault="00D40FD0" w:rsidP="00D40FD0">
      <w:pPr>
        <w:pStyle w:val="ListParagraph"/>
        <w:numPr>
          <w:ilvl w:val="2"/>
          <w:numId w:val="23"/>
        </w:numPr>
        <w:spacing w:before="100" w:beforeAutospacing="1" w:after="100" w:afterAutospacing="1" w:line="276" w:lineRule="auto"/>
        <w:contextualSpacing/>
        <w:rPr>
          <w:rFonts w:ascii="Calibri" w:hAnsi="Calibri"/>
          <w:sz w:val="22"/>
          <w:lang w:val="en-US"/>
        </w:rPr>
      </w:pPr>
      <w:r w:rsidRPr="00D40FD0">
        <w:rPr>
          <w:rFonts w:ascii="Times New Roman" w:hAnsi="Times New Roman"/>
          <w:szCs w:val="20"/>
          <w:lang w:val="en-US"/>
        </w:rPr>
        <w:t>Adaptation for Msg-3 scheduling</w:t>
      </w:r>
    </w:p>
    <w:p w14:paraId="5C613E3E" w14:textId="77777777" w:rsidR="00D40FD0" w:rsidRPr="00D40FD0" w:rsidRDefault="00D40FD0" w:rsidP="00D40FD0">
      <w:pPr>
        <w:pStyle w:val="ListParagraph"/>
        <w:numPr>
          <w:ilvl w:val="3"/>
          <w:numId w:val="23"/>
        </w:numPr>
        <w:spacing w:before="100" w:beforeAutospacing="1" w:after="100" w:afterAutospacing="1" w:line="276" w:lineRule="auto"/>
        <w:contextualSpacing/>
        <w:rPr>
          <w:rFonts w:ascii="Times New Roman" w:hAnsi="Times New Roman"/>
          <w:szCs w:val="20"/>
          <w:lang w:val="en-US"/>
        </w:rPr>
      </w:pPr>
      <w:r w:rsidRPr="00D40FD0">
        <w:rPr>
          <w:rFonts w:ascii="Times New Roman" w:hAnsi="Times New Roman"/>
          <w:szCs w:val="20"/>
          <w:lang w:val="en-US"/>
        </w:rPr>
        <w:t>Only for the case with pre-compensation of timing and frequency offset at UE side)</w:t>
      </w:r>
    </w:p>
    <w:p w14:paraId="199DB3BB" w14:textId="77777777" w:rsidR="00D40FD0" w:rsidRPr="00D40FD0" w:rsidRDefault="00D40FD0" w:rsidP="00D40FD0">
      <w:pPr>
        <w:pStyle w:val="ListParagraph"/>
        <w:numPr>
          <w:ilvl w:val="1"/>
          <w:numId w:val="23"/>
        </w:numPr>
        <w:spacing w:after="200" w:line="254" w:lineRule="auto"/>
        <w:contextualSpacing/>
        <w:rPr>
          <w:rFonts w:ascii="Times New Roman" w:hAnsi="Times New Roman"/>
          <w:szCs w:val="20"/>
          <w:lang w:val="en-US"/>
        </w:rPr>
      </w:pPr>
      <w:bookmarkStart w:id="1" w:name="_Hlk45617713"/>
      <w:r w:rsidRPr="00D40FD0">
        <w:rPr>
          <w:rFonts w:ascii="Times New Roman" w:hAnsi="Times New Roman"/>
          <w:szCs w:val="20"/>
          <w:lang w:val="en-US"/>
        </w:rPr>
        <w:t>Enhancement on UL scheduling to reduce scheduling latency</w:t>
      </w:r>
      <w:bookmarkEnd w:id="1"/>
      <w:r w:rsidRPr="00D40FD0">
        <w:rPr>
          <w:rFonts w:ascii="Times New Roman" w:hAnsi="Times New Roman"/>
          <w:szCs w:val="20"/>
          <w:lang w:val="en-US"/>
        </w:rPr>
        <w:t>.</w:t>
      </w:r>
    </w:p>
    <w:p w14:paraId="5204D34A" w14:textId="77777777" w:rsidR="00D40FD0" w:rsidRPr="00D40FD0" w:rsidRDefault="00D40FD0" w:rsidP="00D40FD0">
      <w:pPr>
        <w:pStyle w:val="ListParagraph"/>
        <w:numPr>
          <w:ilvl w:val="1"/>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rPr>
        <w:t xml:space="preserve">DRX: </w:t>
      </w:r>
    </w:p>
    <w:p w14:paraId="1E2AAD3B" w14:textId="77777777" w:rsidR="00D40FD0" w:rsidRPr="00D40FD0" w:rsidRDefault="00D40FD0" w:rsidP="00D40FD0">
      <w:pPr>
        <w:pStyle w:val="ListParagraph"/>
        <w:numPr>
          <w:ilvl w:val="2"/>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eastAsia="fi-FI"/>
        </w:rPr>
        <w:t xml:space="preserve">If HARQ </w:t>
      </w:r>
      <w:r w:rsidRPr="00D40FD0">
        <w:rPr>
          <w:rFonts w:ascii="Times New Roman" w:eastAsia="SimSun" w:hAnsi="Times New Roman"/>
          <w:szCs w:val="20"/>
          <w:lang w:val="en-US" w:eastAsia="zh-CN"/>
        </w:rPr>
        <w:t>feedback is enabled</w:t>
      </w:r>
      <w:r w:rsidRPr="00D40FD0">
        <w:rPr>
          <w:rFonts w:ascii="Times New Roman" w:hAnsi="Times New Roman"/>
          <w:szCs w:val="20"/>
          <w:lang w:val="en-US" w:eastAsia="fi-FI"/>
        </w:rPr>
        <w:t xml:space="preserve">, </w:t>
      </w:r>
      <w:r w:rsidRPr="00D40FD0">
        <w:rPr>
          <w:rFonts w:ascii="Times New Roman" w:hAnsi="Times New Roman"/>
          <w:szCs w:val="20"/>
          <w:lang w:val="en-US"/>
        </w:rPr>
        <w:t xml:space="preserve">introduction of </w:t>
      </w:r>
      <w:r w:rsidRPr="00D40FD0">
        <w:rPr>
          <w:rFonts w:ascii="Times New Roman" w:hAnsi="Times New Roman"/>
          <w:iCs/>
          <w:szCs w:val="20"/>
          <w:lang w:val="en-US"/>
        </w:rPr>
        <w:t xml:space="preserve">offset for </w:t>
      </w:r>
      <w:r w:rsidRPr="00D40FD0">
        <w:rPr>
          <w:rFonts w:ascii="Times New Roman" w:hAnsi="Times New Roman"/>
          <w:i/>
          <w:iCs/>
          <w:szCs w:val="20"/>
          <w:lang w:val="en-US"/>
        </w:rPr>
        <w:t xml:space="preserve">drx-HARQ-RTT-TimerDL </w:t>
      </w:r>
      <w:r w:rsidRPr="00D40FD0">
        <w:rPr>
          <w:rFonts w:ascii="Times New Roman" w:hAnsi="Times New Roman"/>
          <w:iCs/>
          <w:szCs w:val="20"/>
          <w:lang w:val="en-US"/>
        </w:rPr>
        <w:t xml:space="preserve">and </w:t>
      </w:r>
      <w:r w:rsidRPr="00D40FD0">
        <w:rPr>
          <w:rFonts w:ascii="Times New Roman" w:hAnsi="Times New Roman"/>
          <w:i/>
          <w:iCs/>
          <w:szCs w:val="20"/>
          <w:lang w:val="en-US"/>
        </w:rPr>
        <w:t>drx-HARQ-RTT-TimerUL</w:t>
      </w:r>
      <w:r w:rsidRPr="00D40FD0">
        <w:rPr>
          <w:rFonts w:ascii="Times New Roman" w:hAnsi="Times New Roman"/>
          <w:iCs/>
          <w:szCs w:val="20"/>
          <w:lang w:val="en-US"/>
        </w:rPr>
        <w:t>.</w:t>
      </w:r>
    </w:p>
    <w:p w14:paraId="664460C3" w14:textId="77777777" w:rsidR="00D40FD0" w:rsidRPr="00D40FD0" w:rsidRDefault="00D40FD0" w:rsidP="00D40FD0">
      <w:pPr>
        <w:pStyle w:val="ListParagraph"/>
        <w:numPr>
          <w:ilvl w:val="2"/>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rPr>
        <w:t>If HARQ is turned off per HARQ process, adaptions in HARQ procedure</w:t>
      </w:r>
    </w:p>
    <w:p w14:paraId="6840F8BF"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Scheduling Request: Extension of the value range of </w:t>
      </w:r>
      <w:r w:rsidRPr="00D40FD0">
        <w:rPr>
          <w:rFonts w:ascii="Times New Roman" w:hAnsi="Times New Roman"/>
          <w:i/>
          <w:szCs w:val="20"/>
          <w:lang w:val="en-US"/>
        </w:rPr>
        <w:t xml:space="preserve">sr-ProhibitTimer </w:t>
      </w:r>
    </w:p>
    <w:p w14:paraId="1F93A469"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RLC</w:t>
      </w:r>
    </w:p>
    <w:p w14:paraId="7E170EA2"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Status reporting: Extension of the value range of </w:t>
      </w:r>
      <w:r w:rsidRPr="00D40FD0">
        <w:rPr>
          <w:rFonts w:ascii="Times New Roman" w:hAnsi="Times New Roman"/>
          <w:i/>
          <w:szCs w:val="20"/>
          <w:lang w:val="en-US"/>
        </w:rPr>
        <w:t>t-Reassembly</w:t>
      </w:r>
    </w:p>
    <w:p w14:paraId="5599496C"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Sequence Numbers: extension of the SN space only for GEO scenarios </w:t>
      </w:r>
    </w:p>
    <w:p w14:paraId="74A295B7"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PDCP</w:t>
      </w:r>
    </w:p>
    <w:p w14:paraId="1C567363"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SDU discard: Extension of t</w:t>
      </w:r>
      <w:r w:rsidRPr="00D40FD0">
        <w:rPr>
          <w:rFonts w:ascii="Times New Roman" w:hAnsi="Times New Roman"/>
          <w:szCs w:val="20"/>
          <w:lang w:val="en-US" w:eastAsia="ja-JP"/>
        </w:rPr>
        <w:t xml:space="preserve">he value range of </w:t>
      </w:r>
      <w:r w:rsidRPr="00D40FD0">
        <w:rPr>
          <w:rFonts w:ascii="Times New Roman" w:hAnsi="Times New Roman"/>
          <w:i/>
          <w:szCs w:val="20"/>
          <w:lang w:val="en-US" w:eastAsia="ja-JP"/>
        </w:rPr>
        <w:t>discardTimer</w:t>
      </w:r>
      <w:r w:rsidRPr="00D40FD0">
        <w:rPr>
          <w:rFonts w:ascii="Times New Roman" w:hAnsi="Times New Roman"/>
          <w:szCs w:val="20"/>
          <w:lang w:val="en-US"/>
        </w:rPr>
        <w:t>.</w:t>
      </w:r>
    </w:p>
    <w:p w14:paraId="37524F5F" w14:textId="723C9F93" w:rsidR="00D40FD0" w:rsidRPr="00D54991" w:rsidRDefault="00D40FD0" w:rsidP="00D54991">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Sequence Numbers: extension of the SN space for GEO scenarios.</w:t>
      </w:r>
    </w:p>
    <w:p w14:paraId="7F984327" w14:textId="6E4379EB" w:rsidR="00A1028A" w:rsidRDefault="00A1028A" w:rsidP="00492AD3">
      <w:pPr>
        <w:rPr>
          <w:lang w:val="en-US"/>
        </w:rPr>
      </w:pPr>
    </w:p>
    <w:p w14:paraId="4E9874B6" w14:textId="77777777" w:rsidR="00EE5E4D" w:rsidRDefault="00EE5E4D" w:rsidP="00EE5E4D">
      <w:pPr>
        <w:spacing w:after="0"/>
        <w:rPr>
          <w:lang w:val="en-US"/>
        </w:rPr>
      </w:pPr>
      <w:r>
        <w:rPr>
          <w:lang w:val="en-US"/>
        </w:rPr>
        <w:t>Further at the RAN2#111 the following agreements were made</w:t>
      </w:r>
    </w:p>
    <w:p w14:paraId="4E08D62F" w14:textId="77777777" w:rsidR="00EE5E4D" w:rsidRDefault="00EE5E4D" w:rsidP="00EE5E4D">
      <w:pPr>
        <w:pStyle w:val="Doc-text2"/>
        <w:pBdr>
          <w:top w:val="single" w:sz="4" w:space="1" w:color="auto"/>
          <w:left w:val="single" w:sz="4" w:space="4" w:color="auto"/>
          <w:bottom w:val="single" w:sz="4" w:space="1" w:color="auto"/>
          <w:right w:val="single" w:sz="4" w:space="4" w:color="auto"/>
        </w:pBdr>
      </w:pPr>
      <w:r>
        <w:t>Agreements via email - from offline 107</w:t>
      </w:r>
    </w:p>
    <w:p w14:paraId="440DA40A" w14:textId="77777777" w:rsidR="00EE5E4D" w:rsidRDefault="00EE5E4D" w:rsidP="00EE5E4D">
      <w:pPr>
        <w:pStyle w:val="Doc-text2"/>
        <w:numPr>
          <w:ilvl w:val="0"/>
          <w:numId w:val="27"/>
        </w:numPr>
        <w:pBdr>
          <w:top w:val="single" w:sz="4" w:space="1" w:color="auto"/>
          <w:left w:val="single" w:sz="4" w:space="4" w:color="auto"/>
          <w:bottom w:val="single" w:sz="4" w:space="1" w:color="auto"/>
          <w:right w:val="single" w:sz="4" w:space="4" w:color="auto"/>
        </w:pBdr>
      </w:pPr>
      <w:r>
        <w:t>From RAN2 perspective, an offset is applied to the start of ra-ResponseWindow in NTN for both LEO and GEO scenarios.</w:t>
      </w:r>
    </w:p>
    <w:p w14:paraId="5A5ADABD" w14:textId="77777777" w:rsidR="00EE5E4D" w:rsidRDefault="00EE5E4D" w:rsidP="00EE5E4D">
      <w:pPr>
        <w:pStyle w:val="Doc-text2"/>
        <w:numPr>
          <w:ilvl w:val="0"/>
          <w:numId w:val="27"/>
        </w:numPr>
        <w:pBdr>
          <w:top w:val="single" w:sz="4" w:space="1" w:color="auto"/>
          <w:left w:val="single" w:sz="4" w:space="4" w:color="auto"/>
          <w:bottom w:val="single" w:sz="4" w:space="1" w:color="auto"/>
          <w:right w:val="single" w:sz="4" w:space="4" w:color="auto"/>
        </w:pBdr>
      </w:pPr>
      <w:r>
        <w:t>An offset to the start of the ra-ContentionResolutionTimer is introduced for both LEO and GEO scenarios.</w:t>
      </w:r>
    </w:p>
    <w:p w14:paraId="6A866CF5" w14:textId="77777777" w:rsidR="00EE5E4D" w:rsidRDefault="00EE5E4D" w:rsidP="00EE5E4D">
      <w:pPr>
        <w:pStyle w:val="Doc-text2"/>
        <w:numPr>
          <w:ilvl w:val="0"/>
          <w:numId w:val="27"/>
        </w:numPr>
        <w:pBdr>
          <w:top w:val="single" w:sz="4" w:space="1" w:color="auto"/>
          <w:left w:val="single" w:sz="4" w:space="4" w:color="auto"/>
          <w:bottom w:val="single" w:sz="4" w:space="1" w:color="auto"/>
          <w:right w:val="single" w:sz="4" w:space="4" w:color="auto"/>
        </w:pBdr>
      </w:pPr>
      <w:r>
        <w:lastRenderedPageBreak/>
        <w:t>Modification of drx-LongCycleStartOffset, drx-StartOffset, drx-ShortCycle, drx-ShortCycleTimer, drx-onDurationTimer, drx-SlotOffset and drx-InactivityTimer is not needed in Rel-17 NTN.</w:t>
      </w:r>
    </w:p>
    <w:p w14:paraId="420EED36" w14:textId="77777777" w:rsidR="00EE5E4D" w:rsidRDefault="00EE5E4D" w:rsidP="00EE5E4D">
      <w:pPr>
        <w:pStyle w:val="Doc-text2"/>
        <w:numPr>
          <w:ilvl w:val="0"/>
          <w:numId w:val="27"/>
        </w:numPr>
        <w:pBdr>
          <w:top w:val="single" w:sz="4" w:space="1" w:color="auto"/>
          <w:left w:val="single" w:sz="4" w:space="4" w:color="auto"/>
          <w:bottom w:val="single" w:sz="4" w:space="1" w:color="auto"/>
          <w:right w:val="single" w:sz="4" w:space="4" w:color="auto"/>
        </w:pBdr>
      </w:pPr>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51AF1445" w14:textId="77777777" w:rsidR="00EE5E4D" w:rsidRDefault="00EE5E4D" w:rsidP="00EE5E4D">
      <w:pPr>
        <w:rPr>
          <w:lang w:eastAsia="x-none"/>
        </w:rPr>
      </w:pPr>
    </w:p>
    <w:p w14:paraId="44A98B3C" w14:textId="77777777" w:rsidR="00EE5E4D" w:rsidRDefault="00EE5E4D" w:rsidP="00EE5E4D">
      <w:pPr>
        <w:pStyle w:val="Doc-text2"/>
        <w:pBdr>
          <w:top w:val="single" w:sz="4" w:space="1" w:color="auto"/>
          <w:left w:val="single" w:sz="4" w:space="4" w:color="auto"/>
          <w:bottom w:val="single" w:sz="4" w:space="1" w:color="auto"/>
          <w:right w:val="single" w:sz="4" w:space="4" w:color="auto"/>
        </w:pBdr>
      </w:pPr>
      <w:r>
        <w:t>Agreements via email - from offline 107:</w:t>
      </w:r>
    </w:p>
    <w:p w14:paraId="374F536A" w14:textId="77777777" w:rsidR="00EE5E4D" w:rsidRPr="007C0B9A" w:rsidRDefault="00EE5E4D" w:rsidP="00EE5E4D">
      <w:pPr>
        <w:pStyle w:val="Doc-text2"/>
        <w:numPr>
          <w:ilvl w:val="0"/>
          <w:numId w:val="28"/>
        </w:numPr>
        <w:pBdr>
          <w:top w:val="single" w:sz="4" w:space="1" w:color="auto"/>
          <w:left w:val="single" w:sz="4" w:space="4" w:color="auto"/>
          <w:bottom w:val="single" w:sz="4" w:space="1" w:color="auto"/>
          <w:right w:val="single" w:sz="4" w:space="4" w:color="auto"/>
        </w:pBdr>
        <w:rPr>
          <w:b/>
          <w:bCs/>
        </w:rPr>
      </w:pPr>
      <w:r w:rsidRPr="00B6114F">
        <w:t>At least the following methods to enhance UL scheduling are further studied in NTN: configured g</w:t>
      </w:r>
      <w:r>
        <w:t xml:space="preserve">rant and BSR over 2-step RACH. </w:t>
      </w:r>
      <w:r w:rsidRPr="007C0B9A">
        <w:rPr>
          <w:rStyle w:val="Strong"/>
          <w:b w:val="0"/>
          <w:bCs w:val="0"/>
        </w:rPr>
        <w:t>(other solutions to enhance UL scheduling are not precluded)</w:t>
      </w:r>
    </w:p>
    <w:p w14:paraId="793FE272" w14:textId="77777777" w:rsidR="00EE5E4D" w:rsidRDefault="00EE5E4D" w:rsidP="00EE5E4D">
      <w:pPr>
        <w:pStyle w:val="Comments"/>
      </w:pPr>
    </w:p>
    <w:p w14:paraId="22DF208F" w14:textId="77777777" w:rsidR="00EE5E4D" w:rsidRDefault="00EE5E4D" w:rsidP="00EE5E4D">
      <w:pPr>
        <w:pStyle w:val="Doc-text2"/>
        <w:pBdr>
          <w:top w:val="single" w:sz="4" w:space="1" w:color="auto"/>
          <w:left w:val="single" w:sz="4" w:space="4" w:color="auto"/>
          <w:bottom w:val="single" w:sz="4" w:space="1" w:color="auto"/>
          <w:right w:val="single" w:sz="4" w:space="4" w:color="auto"/>
        </w:pBdr>
      </w:pPr>
      <w:r>
        <w:t>Agreements:</w:t>
      </w:r>
    </w:p>
    <w:p w14:paraId="64F0CC36" w14:textId="77777777" w:rsidR="00EE5E4D" w:rsidRDefault="00EE5E4D" w:rsidP="00EE5E4D">
      <w:pPr>
        <w:pStyle w:val="Doc-text2"/>
        <w:numPr>
          <w:ilvl w:val="0"/>
          <w:numId w:val="28"/>
        </w:numPr>
        <w:pBdr>
          <w:top w:val="single" w:sz="4" w:space="1" w:color="auto"/>
          <w:left w:val="single" w:sz="4" w:space="4" w:color="auto"/>
          <w:bottom w:val="single" w:sz="4" w:space="1" w:color="auto"/>
          <w:right w:val="single" w:sz="4" w:space="4" w:color="auto"/>
        </w:pBdr>
      </w:pPr>
      <w:r w:rsidRPr="002C67E5">
        <w:t>Both 2-step and 4-step RACH are supported in Rel-17 NTN. FFS enhancements to RACH to accommodate the NTN environment.</w:t>
      </w:r>
    </w:p>
    <w:p w14:paraId="2DA92BFA" w14:textId="77777777" w:rsidR="00EE5E4D" w:rsidRDefault="00EE5E4D" w:rsidP="00492AD3">
      <w:pPr>
        <w:rPr>
          <w:lang w:val="en-US"/>
        </w:rPr>
      </w:pPr>
    </w:p>
    <w:p w14:paraId="4C21D92B" w14:textId="5F73322E" w:rsidR="00492AD3" w:rsidRPr="000714AC" w:rsidRDefault="004C09E6" w:rsidP="00492AD3">
      <w:pPr>
        <w:rPr>
          <w:lang w:val="en-US"/>
        </w:rPr>
      </w:pPr>
      <w:r w:rsidRPr="000714AC">
        <w:rPr>
          <w:lang w:val="en-US"/>
        </w:rPr>
        <w:t xml:space="preserve">In this paper, we </w:t>
      </w:r>
      <w:r w:rsidR="000D7FF6">
        <w:rPr>
          <w:lang w:val="en-US"/>
        </w:rPr>
        <w:t>discuss</w:t>
      </w:r>
      <w:r w:rsidR="00A1028A">
        <w:rPr>
          <w:lang w:val="en-US"/>
        </w:rPr>
        <w:t xml:space="preserve"> RLC and PDCP</w:t>
      </w:r>
      <w:r w:rsidR="00787374">
        <w:rPr>
          <w:lang w:val="en-US"/>
        </w:rPr>
        <w:t xml:space="preserve"> </w:t>
      </w:r>
      <w:r w:rsidRPr="000714AC">
        <w:rPr>
          <w:lang w:val="en-US"/>
        </w:rPr>
        <w:t xml:space="preserve">issues </w:t>
      </w:r>
      <w:r w:rsidR="006D1224">
        <w:rPr>
          <w:lang w:val="en-US"/>
        </w:rPr>
        <w:t>in</w:t>
      </w:r>
      <w:r w:rsidRPr="000714AC">
        <w:rPr>
          <w:lang w:val="en-US"/>
        </w:rPr>
        <w:t xml:space="preserve"> adapting </w:t>
      </w:r>
      <w:r w:rsidR="00830536">
        <w:rPr>
          <w:lang w:val="en-US"/>
        </w:rPr>
        <w:t>NR</w:t>
      </w:r>
      <w:r w:rsidRPr="000714AC">
        <w:rPr>
          <w:lang w:val="en-US"/>
        </w:rPr>
        <w:t xml:space="preserve"> to NTN.</w:t>
      </w:r>
    </w:p>
    <w:p w14:paraId="475ED1F6" w14:textId="0F94DEB7" w:rsidR="001E7EE5" w:rsidRDefault="001E7EE5" w:rsidP="003C2EF0">
      <w:pPr>
        <w:rPr>
          <w:lang w:val="en-US"/>
        </w:rPr>
      </w:pPr>
    </w:p>
    <w:p w14:paraId="00ECFC54" w14:textId="63680312" w:rsidR="001E7EE5" w:rsidRDefault="001E7EE5" w:rsidP="001E7EE5">
      <w:pPr>
        <w:pStyle w:val="Heading1"/>
      </w:pPr>
      <w:r w:rsidRPr="000714AC">
        <w:t>RLC</w:t>
      </w:r>
      <w:r>
        <w:t xml:space="preserve"> </w:t>
      </w:r>
      <w:r w:rsidR="009124C4">
        <w:t>and PDCP</w:t>
      </w:r>
      <w:r>
        <w:t xml:space="preserve"> adaptations for NTN</w:t>
      </w:r>
    </w:p>
    <w:p w14:paraId="00F86B17" w14:textId="4CABB6A4" w:rsidR="00E03828" w:rsidRPr="0044051C" w:rsidRDefault="00E03828" w:rsidP="0044051C">
      <w:pPr>
        <w:rPr>
          <w:lang w:val="en-GB" w:eastAsia="zh-CN"/>
        </w:rPr>
      </w:pPr>
    </w:p>
    <w:p w14:paraId="65561A9A" w14:textId="3FD75314" w:rsidR="00E03828" w:rsidRPr="00E03828" w:rsidRDefault="00087B6E" w:rsidP="00E03828">
      <w:pPr>
        <w:rPr>
          <w:rFonts w:eastAsiaTheme="minorEastAsia"/>
          <w:lang w:val="en-US"/>
        </w:rPr>
      </w:pPr>
      <w:r>
        <w:rPr>
          <w:lang w:val="en-US"/>
        </w:rPr>
        <w:t>T</w:t>
      </w:r>
      <w:r w:rsidR="00E03828" w:rsidRPr="0044051C">
        <w:rPr>
          <w:lang w:val="en-US"/>
        </w:rPr>
        <w:t>he RLC layer offer</w:t>
      </w:r>
      <w:r>
        <w:rPr>
          <w:lang w:val="en-US"/>
        </w:rPr>
        <w:t>s</w:t>
      </w:r>
      <w:r w:rsidR="00E03828" w:rsidRPr="0044051C">
        <w:rPr>
          <w:lang w:val="en-US"/>
        </w:rPr>
        <w:t xml:space="preserve"> reliable communication by using ARQ with status reporting and segmentation. </w:t>
      </w:r>
      <w:r>
        <w:rPr>
          <w:lang w:val="en-US"/>
        </w:rPr>
        <w:t>T</w:t>
      </w:r>
      <w:r w:rsidR="00E03828" w:rsidRPr="0044051C">
        <w:rPr>
          <w:lang w:val="en-US"/>
        </w:rPr>
        <w:t>h</w:t>
      </w:r>
      <w:r>
        <w:rPr>
          <w:lang w:val="en-US"/>
        </w:rPr>
        <w:t>is</w:t>
      </w:r>
      <w:r w:rsidR="00E03828" w:rsidRPr="0044051C">
        <w:rPr>
          <w:lang w:val="en-US"/>
        </w:rPr>
        <w:t xml:space="preserve"> service mak</w:t>
      </w:r>
      <w:r>
        <w:rPr>
          <w:lang w:val="en-US"/>
        </w:rPr>
        <w:t>es</w:t>
      </w:r>
      <w:r w:rsidR="00E03828" w:rsidRPr="0044051C">
        <w:rPr>
          <w:lang w:val="en-US"/>
        </w:rPr>
        <w:t xml:space="preserve"> use of timers that might be affected by the long propagation delays of a non-terrestrial network. Extension of timers is typically an easy solution to solve such problems. However, care should be taken so that buffer-limitations and sequence number space problems are considered. </w:t>
      </w:r>
      <w:bookmarkStart w:id="2" w:name="_Toc528786998"/>
      <w:bookmarkStart w:id="3" w:name="_Toc528786999"/>
      <w:bookmarkStart w:id="4" w:name="_Toc528787000"/>
      <w:bookmarkStart w:id="5" w:name="_Toc528787001"/>
      <w:bookmarkStart w:id="6" w:name="_Toc528875587"/>
      <w:bookmarkStart w:id="7" w:name="_Toc528787002"/>
      <w:bookmarkStart w:id="8" w:name="_Toc528787003"/>
      <w:bookmarkStart w:id="9" w:name="_Toc528875589"/>
      <w:bookmarkStart w:id="10" w:name="_Toc528843600"/>
      <w:bookmarkStart w:id="11" w:name="_Toc528843602"/>
      <w:bookmarkStart w:id="12" w:name="_Toc528843603"/>
      <w:bookmarkStart w:id="13" w:name="_Toc528843641"/>
      <w:bookmarkEnd w:id="2"/>
      <w:bookmarkEnd w:id="3"/>
      <w:bookmarkEnd w:id="4"/>
      <w:bookmarkEnd w:id="5"/>
      <w:bookmarkEnd w:id="6"/>
      <w:bookmarkEnd w:id="7"/>
      <w:bookmarkEnd w:id="8"/>
      <w:bookmarkEnd w:id="9"/>
      <w:bookmarkEnd w:id="10"/>
      <w:bookmarkEnd w:id="11"/>
      <w:bookmarkEnd w:id="12"/>
      <w:bookmarkEnd w:id="13"/>
    </w:p>
    <w:p w14:paraId="55F89F42" w14:textId="77777777" w:rsidR="00E03828" w:rsidRPr="0044051C" w:rsidRDefault="00E03828" w:rsidP="00E03828">
      <w:pPr>
        <w:pStyle w:val="Heading2"/>
        <w:rPr>
          <w:lang w:val="en-US"/>
        </w:rPr>
      </w:pPr>
      <w:r w:rsidRPr="0044051C">
        <w:rPr>
          <w:lang w:val="en-US"/>
        </w:rPr>
        <w:t>RLC Reassembly</w:t>
      </w:r>
    </w:p>
    <w:p w14:paraId="7195DFAF" w14:textId="6E9899C4" w:rsidR="00493802" w:rsidRPr="00493802" w:rsidRDefault="00493802" w:rsidP="00E03828">
      <w:pPr>
        <w:rPr>
          <w:lang w:val="en-US"/>
        </w:rPr>
      </w:pPr>
      <w:bookmarkStart w:id="14" w:name="_Toc528843604"/>
      <w:bookmarkStart w:id="15" w:name="_Toc528843989"/>
      <w:bookmarkStart w:id="16" w:name="_Toc528852886"/>
      <w:bookmarkStart w:id="17" w:name="_Toc528872496"/>
      <w:bookmarkStart w:id="18" w:name="_Toc528875594"/>
      <w:bookmarkStart w:id="19" w:name="_Toc528875632"/>
      <w:r w:rsidRPr="00493802">
        <w:rPr>
          <w:lang w:val="en-US"/>
        </w:rPr>
        <w:t>In the WID objectives it is include that:</w:t>
      </w:r>
    </w:p>
    <w:p w14:paraId="6F4FEA70" w14:textId="6845F567" w:rsidR="00493802" w:rsidRPr="00493802" w:rsidRDefault="00493802" w:rsidP="0044051C">
      <w:pPr>
        <w:pStyle w:val="ListParagraph"/>
        <w:numPr>
          <w:ilvl w:val="0"/>
          <w:numId w:val="21"/>
        </w:numPr>
        <w:rPr>
          <w:lang w:val="en-US"/>
        </w:rPr>
      </w:pPr>
      <w:r w:rsidRPr="0044051C">
        <w:rPr>
          <w:rFonts w:ascii="Times New Roman" w:hAnsi="Times New Roman"/>
          <w:szCs w:val="20"/>
          <w:lang w:val="en-US"/>
        </w:rPr>
        <w:t xml:space="preserve">Status reporting: Extension of the value range of </w:t>
      </w:r>
      <w:r w:rsidRPr="0044051C">
        <w:rPr>
          <w:rFonts w:ascii="Times New Roman" w:hAnsi="Times New Roman"/>
          <w:i/>
          <w:szCs w:val="20"/>
          <w:lang w:val="en-US"/>
        </w:rPr>
        <w:t>t-Reassembly</w:t>
      </w:r>
    </w:p>
    <w:p w14:paraId="56397BBE" w14:textId="77777777" w:rsidR="00493802" w:rsidRDefault="00493802" w:rsidP="00E03828">
      <w:pPr>
        <w:rPr>
          <w:lang w:val="en-US"/>
        </w:rPr>
      </w:pPr>
    </w:p>
    <w:p w14:paraId="11DD55EF" w14:textId="49C247ED" w:rsidR="00493802" w:rsidRDefault="00493802" w:rsidP="00E03828">
      <w:pPr>
        <w:rPr>
          <w:rFonts w:cs="Arial"/>
          <w:lang w:val="en-US"/>
        </w:rPr>
      </w:pPr>
      <w:r>
        <w:rPr>
          <w:lang w:val="en-US"/>
        </w:rPr>
        <w:t xml:space="preserve">The discussion of an extension of the </w:t>
      </w:r>
      <w:r w:rsidRPr="00D406D2">
        <w:rPr>
          <w:rFonts w:ascii="Times New Roman" w:hAnsi="Times New Roman"/>
          <w:i/>
          <w:szCs w:val="20"/>
          <w:lang w:val="en-US"/>
        </w:rPr>
        <w:t>t-</w:t>
      </w:r>
      <w:r w:rsidRPr="00493802">
        <w:rPr>
          <w:rFonts w:ascii="Times New Roman" w:hAnsi="Times New Roman"/>
          <w:i/>
          <w:szCs w:val="20"/>
          <w:lang w:val="en-US"/>
        </w:rPr>
        <w:t xml:space="preserve">Reassembly </w:t>
      </w:r>
      <w:r>
        <w:t xml:space="preserve">in NTN </w:t>
      </w:r>
      <w:r w:rsidRPr="0044051C">
        <w:rPr>
          <w:lang w:val="en-US"/>
        </w:rPr>
        <w:t xml:space="preserve">is mainly for the case </w:t>
      </w:r>
      <w:r>
        <w:rPr>
          <w:lang w:val="en-US"/>
        </w:rPr>
        <w:t xml:space="preserve">when HARQ feedback is enabled to allow for </w:t>
      </w:r>
      <w:r w:rsidRPr="00FC6EAF">
        <w:rPr>
          <w:rFonts w:cs="Arial"/>
          <w:lang w:val="en-US"/>
        </w:rPr>
        <w:t>retransmissions using HARQ before retransmissions are triggered by RLC</w:t>
      </w:r>
      <w:r w:rsidR="00FC6EAF" w:rsidRPr="00FC6EAF">
        <w:rPr>
          <w:rFonts w:cs="Arial"/>
          <w:lang w:val="en-US"/>
        </w:rPr>
        <w:t xml:space="preserve"> using status reports. The extension of </w:t>
      </w:r>
      <w:r w:rsidR="00FC6EAF" w:rsidRPr="0044051C">
        <w:rPr>
          <w:rFonts w:cs="Arial"/>
          <w:i/>
          <w:szCs w:val="20"/>
          <w:lang w:val="en-US"/>
        </w:rPr>
        <w:t>t-Reassembly</w:t>
      </w:r>
      <w:r w:rsidR="00FC6EAF" w:rsidRPr="0044051C">
        <w:rPr>
          <w:rFonts w:cs="Arial"/>
          <w:lang w:val="en-US"/>
        </w:rPr>
        <w:t xml:space="preserve"> in NTN should be further investigated i Rel-17 and simulations should be used to support the need of an extension.</w:t>
      </w:r>
      <w:r w:rsidRPr="00FC6EAF">
        <w:rPr>
          <w:rFonts w:cs="Arial"/>
          <w:lang w:val="en-US"/>
        </w:rPr>
        <w:t xml:space="preserve">  </w:t>
      </w:r>
    </w:p>
    <w:p w14:paraId="1C4E5081" w14:textId="02564349" w:rsidR="00EE5E4D" w:rsidRPr="00FF45CC" w:rsidRDefault="00EE5E4D" w:rsidP="00EE5E4D">
      <w:pPr>
        <w:rPr>
          <w:lang w:val="en-US" w:eastAsia="sv-SE"/>
        </w:rPr>
      </w:pPr>
      <w:r w:rsidRPr="00416B1A">
        <w:rPr>
          <w:lang w:val="en-US" w:eastAsia="sv-SE"/>
        </w:rPr>
        <w:t>Data that is delivered without HARQ feedback should probably</w:t>
      </w:r>
      <w:r w:rsidRPr="00FF45CC">
        <w:rPr>
          <w:lang w:val="en-US" w:eastAsia="sv-SE"/>
        </w:rPr>
        <w:t xml:space="preserve"> use a short t-Reassembly value to allow for short retransmission delays. </w:t>
      </w:r>
    </w:p>
    <w:p w14:paraId="3D4E38D2" w14:textId="5E480022" w:rsidR="00EE5E4D" w:rsidRPr="00416B1A" w:rsidRDefault="00EE5E4D" w:rsidP="00EE5E4D">
      <w:pPr>
        <w:rPr>
          <w:lang w:val="en-US" w:eastAsia="sv-SE"/>
        </w:rPr>
      </w:pPr>
      <w:r w:rsidRPr="00FF45CC">
        <w:rPr>
          <w:lang w:val="en-US" w:eastAsia="sv-SE"/>
        </w:rPr>
        <w:t xml:space="preserve">For data delivered with HARQ feedback we need to extend t-Reassembly to allow for HARQ </w:t>
      </w:r>
      <w:r w:rsidRPr="00416B1A">
        <w:rPr>
          <w:lang w:val="en-US" w:eastAsia="sv-SE"/>
        </w:rPr>
        <w:t xml:space="preserve">retransmissions also when the </w:t>
      </w:r>
      <w:r w:rsidR="00FF45CC">
        <w:rPr>
          <w:lang w:val="en-US" w:eastAsia="sv-SE"/>
        </w:rPr>
        <w:t>RTT</w:t>
      </w:r>
      <w:r w:rsidRPr="00416B1A">
        <w:rPr>
          <w:lang w:val="en-US" w:eastAsia="sv-SE"/>
        </w:rPr>
        <w:t xml:space="preserve"> is 541 ms to avoid RLC status reporting too early</w:t>
      </w:r>
      <w:r w:rsidR="00715717" w:rsidRPr="00416B1A">
        <w:rPr>
          <w:lang w:val="en-US" w:eastAsia="sv-SE"/>
        </w:rPr>
        <w:t>,</w:t>
      </w:r>
      <w:r w:rsidR="00041837" w:rsidRPr="00416B1A">
        <w:rPr>
          <w:lang w:val="en-US" w:eastAsia="sv-SE"/>
        </w:rPr>
        <w:t xml:space="preserve"> resulting in data being retransmitted while it is in flight on a different HARQ process</w:t>
      </w:r>
      <w:r w:rsidRPr="00416B1A">
        <w:rPr>
          <w:lang w:val="en-US" w:eastAsia="sv-SE"/>
        </w:rPr>
        <w:t>.</w:t>
      </w:r>
    </w:p>
    <w:p w14:paraId="18F833B5" w14:textId="17B06638" w:rsidR="00D43600" w:rsidRPr="00FF45CC" w:rsidRDefault="00D43600" w:rsidP="00EE5E4D">
      <w:pPr>
        <w:rPr>
          <w:lang w:val="en-US" w:eastAsia="sv-SE"/>
        </w:rPr>
      </w:pPr>
      <w:r w:rsidRPr="00416B1A">
        <w:rPr>
          <w:lang w:val="en-US" w:eastAsia="sv-SE"/>
        </w:rPr>
        <w:t>A too short reassembly timer will result in data being retransmitted before HARQ feedback is received, wasting resources. A too long reass</w:t>
      </w:r>
      <w:r w:rsidR="00416B1A">
        <w:rPr>
          <w:lang w:val="en-US" w:eastAsia="sv-SE"/>
        </w:rPr>
        <w:t>em</w:t>
      </w:r>
      <w:r w:rsidRPr="00FF45CC">
        <w:rPr>
          <w:lang w:val="en-US" w:eastAsia="sv-SE"/>
        </w:rPr>
        <w:t>bly timer will increase the delay when RLC packets are lost in HARQ. The network shall be in control of the RLC reassembly to correctly control this tradeoff between delay and unnecessary RLC retransmissions.</w:t>
      </w:r>
    </w:p>
    <w:p w14:paraId="55996D2D" w14:textId="49050CA7" w:rsidR="00715717" w:rsidRPr="0044051C" w:rsidRDefault="00715717" w:rsidP="00715717">
      <w:pPr>
        <w:pStyle w:val="Proposal"/>
        <w:rPr>
          <w:rFonts w:cs="Arial"/>
          <w:lang w:val="en-US"/>
        </w:rPr>
      </w:pPr>
      <w:bookmarkStart w:id="20" w:name="_Toc54047404"/>
      <w:bookmarkStart w:id="21" w:name="_Toc54090684"/>
      <w:bookmarkStart w:id="22" w:name="_Toc54260722"/>
      <w:bookmarkStart w:id="23" w:name="_Toc54260773"/>
      <w:bookmarkStart w:id="24" w:name="_Toc47540197"/>
      <w:bookmarkStart w:id="25" w:name="_Toc47615491"/>
      <w:bookmarkStart w:id="26" w:name="_Toc47657080"/>
      <w:bookmarkStart w:id="27" w:name="_Toc47657251"/>
      <w:bookmarkStart w:id="28" w:name="_Toc47657466"/>
      <w:bookmarkStart w:id="29" w:name="_Toc53499591"/>
      <w:bookmarkStart w:id="30" w:name="_Toc53536582"/>
      <w:bookmarkStart w:id="31" w:name="_Toc53558791"/>
      <w:bookmarkStart w:id="32" w:name="_Toc53562259"/>
      <w:bookmarkStart w:id="33" w:name="_Toc47443236"/>
      <w:r>
        <w:rPr>
          <w:rFonts w:cs="Arial"/>
          <w:lang w:val="en-US"/>
        </w:rPr>
        <w:t xml:space="preserve">The </w:t>
      </w:r>
      <w:r w:rsidRPr="00FC6EAF">
        <w:rPr>
          <w:rFonts w:cs="Arial"/>
          <w:lang w:val="en-US"/>
        </w:rPr>
        <w:t xml:space="preserve">timer </w:t>
      </w:r>
      <w:r w:rsidRPr="0044051C">
        <w:rPr>
          <w:rFonts w:cs="Arial"/>
          <w:i/>
          <w:lang w:val="en-US"/>
        </w:rPr>
        <w:t>t-Reassembly</w:t>
      </w:r>
      <w:r>
        <w:rPr>
          <w:rFonts w:cs="Arial"/>
          <w:iCs/>
          <w:lang w:val="en-US"/>
        </w:rPr>
        <w:t xml:space="preserve"> </w:t>
      </w:r>
      <w:r w:rsidR="006D08B5">
        <w:rPr>
          <w:rFonts w:cs="Arial"/>
          <w:iCs/>
          <w:lang w:val="en-US"/>
        </w:rPr>
        <w:t xml:space="preserve">value range </w:t>
      </w:r>
      <w:r>
        <w:rPr>
          <w:rFonts w:cs="Arial"/>
          <w:iCs/>
          <w:lang w:val="en-US"/>
        </w:rPr>
        <w:t>is extended with larger values</w:t>
      </w:r>
      <w:bookmarkEnd w:id="20"/>
      <w:bookmarkEnd w:id="21"/>
      <w:bookmarkEnd w:id="22"/>
      <w:bookmarkEnd w:id="23"/>
      <w:r>
        <w:rPr>
          <w:rFonts w:cs="Arial"/>
          <w:iCs/>
          <w:lang w:val="en-US"/>
        </w:rPr>
        <w:t xml:space="preserve"> </w:t>
      </w:r>
    </w:p>
    <w:p w14:paraId="1093B32F" w14:textId="47AE7D0E" w:rsidR="00EE5E4D" w:rsidRPr="0044051C" w:rsidRDefault="00EE5E4D" w:rsidP="00EE5E4D">
      <w:pPr>
        <w:pStyle w:val="Proposal"/>
        <w:rPr>
          <w:rFonts w:cs="Arial"/>
          <w:lang w:val="en-US"/>
        </w:rPr>
      </w:pPr>
      <w:bookmarkStart w:id="34" w:name="_Toc54047405"/>
      <w:bookmarkStart w:id="35" w:name="_Toc54090685"/>
      <w:bookmarkStart w:id="36" w:name="_Toc54260723"/>
      <w:bookmarkStart w:id="37" w:name="_Toc54260774"/>
      <w:r w:rsidRPr="00FC6EAF">
        <w:rPr>
          <w:rFonts w:cs="Arial"/>
          <w:lang w:val="en-US"/>
        </w:rPr>
        <w:t xml:space="preserve">Use RLC simulations to support </w:t>
      </w:r>
      <w:r w:rsidR="00BE6696">
        <w:rPr>
          <w:rFonts w:cs="Arial"/>
          <w:lang w:val="en-US"/>
        </w:rPr>
        <w:t>the values to</w:t>
      </w:r>
      <w:r w:rsidRPr="00FC6EAF">
        <w:rPr>
          <w:rFonts w:cs="Arial"/>
          <w:lang w:val="en-US"/>
        </w:rPr>
        <w:t xml:space="preserve"> exten</w:t>
      </w:r>
      <w:r w:rsidR="00BE6696">
        <w:rPr>
          <w:rFonts w:cs="Arial"/>
          <w:lang w:val="en-US"/>
        </w:rPr>
        <w:t>d</w:t>
      </w:r>
      <w:r w:rsidRPr="00FC6EAF">
        <w:rPr>
          <w:rFonts w:cs="Arial"/>
          <w:lang w:val="en-US"/>
        </w:rPr>
        <w:t xml:space="preserve"> the </w:t>
      </w:r>
      <w:r w:rsidRPr="0044051C">
        <w:rPr>
          <w:rFonts w:cs="Arial"/>
          <w:i/>
          <w:lang w:val="en-US"/>
        </w:rPr>
        <w:t>t-Reassembly</w:t>
      </w:r>
      <w:bookmarkEnd w:id="24"/>
      <w:bookmarkEnd w:id="25"/>
      <w:bookmarkEnd w:id="26"/>
      <w:bookmarkEnd w:id="27"/>
      <w:bookmarkEnd w:id="28"/>
      <w:bookmarkEnd w:id="29"/>
      <w:bookmarkEnd w:id="30"/>
      <w:bookmarkEnd w:id="31"/>
      <w:bookmarkEnd w:id="32"/>
      <w:r>
        <w:rPr>
          <w:rFonts w:cs="Arial"/>
          <w:lang w:val="en-US"/>
        </w:rPr>
        <w:t xml:space="preserve"> </w:t>
      </w:r>
      <w:bookmarkEnd w:id="33"/>
      <w:r w:rsidR="00D43600">
        <w:rPr>
          <w:rFonts w:cs="Arial"/>
          <w:iCs/>
          <w:lang w:val="en-US"/>
        </w:rPr>
        <w:t>timer</w:t>
      </w:r>
      <w:bookmarkEnd w:id="34"/>
      <w:bookmarkEnd w:id="35"/>
      <w:bookmarkEnd w:id="36"/>
      <w:bookmarkEnd w:id="37"/>
    </w:p>
    <w:p w14:paraId="29C578E5" w14:textId="77777777" w:rsidR="00EE5E4D" w:rsidRPr="00FC6EAF" w:rsidRDefault="00EE5E4D" w:rsidP="00EE5E4D">
      <w:pPr>
        <w:rPr>
          <w:rFonts w:cs="Arial"/>
          <w:lang w:val="en-US"/>
        </w:rPr>
      </w:pPr>
    </w:p>
    <w:p w14:paraId="2FBC73D0" w14:textId="5430FC58" w:rsidR="00E03828" w:rsidRPr="0044051C" w:rsidRDefault="009124C4" w:rsidP="00E03828">
      <w:pPr>
        <w:pStyle w:val="Heading2"/>
        <w:rPr>
          <w:lang w:val="en-US"/>
        </w:rPr>
      </w:pPr>
      <w:bookmarkStart w:id="38" w:name="_Toc528843605"/>
      <w:bookmarkStart w:id="39" w:name="_Toc528843990"/>
      <w:bookmarkStart w:id="40" w:name="_Toc528852887"/>
      <w:bookmarkStart w:id="41" w:name="_Toc528875595"/>
      <w:bookmarkStart w:id="42" w:name="_Toc528843606"/>
      <w:bookmarkStart w:id="43" w:name="_Toc528843991"/>
      <w:bookmarkStart w:id="44" w:name="_Toc528852888"/>
      <w:bookmarkStart w:id="45" w:name="_Toc528843607"/>
      <w:bookmarkStart w:id="46" w:name="_Toc528843992"/>
      <w:bookmarkStart w:id="47" w:name="_Toc528852889"/>
      <w:bookmarkStart w:id="48" w:name="_Toc528843608"/>
      <w:bookmarkStart w:id="49" w:name="_Toc528843993"/>
      <w:bookmarkStart w:id="50" w:name="_Toc528852890"/>
      <w:bookmarkStart w:id="51" w:name="_Toc528843609"/>
      <w:bookmarkStart w:id="52" w:name="_Toc528843994"/>
      <w:bookmarkStart w:id="53" w:name="_Toc528852891"/>
      <w:bookmarkStart w:id="54" w:name="_Toc528843610"/>
      <w:bookmarkStart w:id="55" w:name="_Toc528843995"/>
      <w:bookmarkStart w:id="56" w:name="_Toc528852892"/>
      <w:bookmarkStart w:id="57" w:name="_Toc528843611"/>
      <w:bookmarkStart w:id="58" w:name="_Toc528843996"/>
      <w:bookmarkStart w:id="59" w:name="_Toc528852893"/>
      <w:bookmarkStart w:id="60" w:name="_Toc528843612"/>
      <w:bookmarkStart w:id="61" w:name="_Toc528843997"/>
      <w:bookmarkStart w:id="62" w:name="_Toc528852894"/>
      <w:bookmarkStart w:id="63" w:name="_Toc528843613"/>
      <w:bookmarkStart w:id="64" w:name="_Toc528843998"/>
      <w:bookmarkStart w:id="65" w:name="_Toc528852895"/>
      <w:bookmarkStart w:id="66" w:name="_Toc528843615"/>
      <w:bookmarkStart w:id="67" w:name="_Toc528844000"/>
      <w:bookmarkStart w:id="68" w:name="_Toc528852897"/>
      <w:bookmarkStart w:id="69" w:name="_Toc528843616"/>
      <w:bookmarkStart w:id="70" w:name="_Toc528844001"/>
      <w:bookmarkStart w:id="71" w:name="_Toc528852898"/>
      <w:bookmarkStart w:id="72" w:name="_Toc528843617"/>
      <w:bookmarkStart w:id="73" w:name="_Toc528844002"/>
      <w:bookmarkStart w:id="74" w:name="_Toc528852899"/>
      <w:bookmarkStart w:id="75" w:name="_Toc528843618"/>
      <w:bookmarkStart w:id="76" w:name="_Toc528844003"/>
      <w:bookmarkStart w:id="77" w:name="_Toc528852900"/>
      <w:bookmarkStart w:id="78" w:name="_Toc528843620"/>
      <w:bookmarkStart w:id="79" w:name="_Toc528844005"/>
      <w:bookmarkStart w:id="80" w:name="_Toc528852902"/>
      <w:bookmarkStart w:id="81" w:name="_Toc528843621"/>
      <w:bookmarkStart w:id="82" w:name="_Toc528844006"/>
      <w:bookmarkStart w:id="83" w:name="_Toc528852903"/>
      <w:bookmarkStart w:id="84" w:name="_Toc528843622"/>
      <w:bookmarkStart w:id="85" w:name="_Toc528844007"/>
      <w:bookmarkStart w:id="86" w:name="_Toc528852904"/>
      <w:bookmarkStart w:id="87" w:name="_Toc528843623"/>
      <w:bookmarkStart w:id="88" w:name="_Toc528844008"/>
      <w:bookmarkStart w:id="89" w:name="_Toc528852905"/>
      <w:bookmarkStart w:id="90" w:name="_Toc528843625"/>
      <w:bookmarkStart w:id="91" w:name="_Toc528844010"/>
      <w:bookmarkStart w:id="92" w:name="_Toc528852907"/>
      <w:bookmarkStart w:id="93" w:name="_Toc528843626"/>
      <w:bookmarkStart w:id="94" w:name="_Toc528844011"/>
      <w:bookmarkStart w:id="95" w:name="_Toc528852908"/>
      <w:bookmarkStart w:id="96" w:name="_Toc528843627"/>
      <w:bookmarkStart w:id="97" w:name="_Toc528844012"/>
      <w:bookmarkStart w:id="98" w:name="_Toc528852909"/>
      <w:bookmarkStart w:id="99" w:name="_Toc528843628"/>
      <w:bookmarkStart w:id="100" w:name="_Toc528844013"/>
      <w:bookmarkStart w:id="101" w:name="_Toc528852910"/>
      <w:bookmarkStart w:id="102" w:name="_Toc528843630"/>
      <w:bookmarkStart w:id="103" w:name="_Toc528844015"/>
      <w:bookmarkStart w:id="104" w:name="_Toc528852912"/>
      <w:bookmarkStart w:id="105" w:name="_Toc528843631"/>
      <w:bookmarkStart w:id="106" w:name="_Toc528844016"/>
      <w:bookmarkStart w:id="107" w:name="_Toc528852913"/>
      <w:bookmarkStart w:id="108" w:name="_Toc528843632"/>
      <w:bookmarkStart w:id="109" w:name="_Toc528844017"/>
      <w:bookmarkStart w:id="110" w:name="_Toc528852914"/>
      <w:bookmarkStart w:id="111" w:name="_Toc528843633"/>
      <w:bookmarkStart w:id="112" w:name="_Toc528844018"/>
      <w:bookmarkStart w:id="113" w:name="_Toc528852915"/>
      <w:bookmarkStart w:id="114" w:name="_Toc887699"/>
      <w:bookmarkStart w:id="115" w:name="_Toc887720"/>
      <w:bookmarkStart w:id="116" w:name="_Toc1064787"/>
      <w:bookmarkStart w:id="117" w:name="_Toc1064831"/>
      <w:bookmarkEnd w:id="14"/>
      <w:bookmarkEnd w:id="15"/>
      <w:bookmarkEnd w:id="16"/>
      <w:bookmarkEnd w:id="17"/>
      <w:bookmarkEnd w:id="18"/>
      <w:bookmarkEnd w:id="19"/>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Pr>
          <w:lang w:val="en-US"/>
        </w:rPr>
        <w:t>RLC s</w:t>
      </w:r>
      <w:r w:rsidR="00E03828" w:rsidRPr="0044051C">
        <w:rPr>
          <w:lang w:val="en-US"/>
        </w:rPr>
        <w:t>equence number space</w:t>
      </w:r>
    </w:p>
    <w:p w14:paraId="41156C53" w14:textId="2EA7CB41" w:rsidR="00FC6EAF" w:rsidRDefault="00FC6EAF" w:rsidP="00FC6EAF">
      <w:pPr>
        <w:rPr>
          <w:lang w:val="en-US"/>
        </w:rPr>
      </w:pPr>
      <w:r>
        <w:rPr>
          <w:lang w:val="en-US"/>
        </w:rPr>
        <w:t>In</w:t>
      </w:r>
      <w:r w:rsidR="00E03828" w:rsidRPr="0044051C">
        <w:rPr>
          <w:lang w:val="en-US"/>
        </w:rPr>
        <w:t xml:space="preserve"> NR, the Sequence Number space was extended to allow for higher rates. </w:t>
      </w:r>
      <w:r>
        <w:rPr>
          <w:lang w:val="en-US"/>
        </w:rPr>
        <w:t>Also,</w:t>
      </w:r>
      <w:r w:rsidR="00E03828" w:rsidRPr="0044051C">
        <w:rPr>
          <w:lang w:val="en-US"/>
        </w:rPr>
        <w:t xml:space="preserve"> a new sequence number is generated only for each </w:t>
      </w:r>
      <w:r>
        <w:rPr>
          <w:lang w:val="en-US"/>
        </w:rPr>
        <w:t xml:space="preserve">RLC </w:t>
      </w:r>
      <w:r w:rsidR="00E03828" w:rsidRPr="0044051C">
        <w:rPr>
          <w:lang w:val="en-US"/>
        </w:rPr>
        <w:t xml:space="preserve">SDU, rather than for each </w:t>
      </w:r>
      <w:r>
        <w:rPr>
          <w:lang w:val="en-US"/>
        </w:rPr>
        <w:t xml:space="preserve">RLC </w:t>
      </w:r>
      <w:r w:rsidR="00E03828" w:rsidRPr="0044051C">
        <w:rPr>
          <w:lang w:val="en-US"/>
        </w:rPr>
        <w:t>PDU. For RLC</w:t>
      </w:r>
      <w:r w:rsidR="0044051C">
        <w:rPr>
          <w:lang w:val="en-US"/>
        </w:rPr>
        <w:t>,</w:t>
      </w:r>
      <w:r w:rsidR="00E03828" w:rsidRPr="0044051C">
        <w:rPr>
          <w:lang w:val="en-US"/>
        </w:rPr>
        <w:t xml:space="preserve"> the sequence number space is 6 or 12 bits for RLC UM and 12 or 18 bits for RLC AM. </w:t>
      </w:r>
      <w:bookmarkStart w:id="118" w:name="_Toc16763063"/>
      <w:bookmarkStart w:id="119" w:name="_Toc16788313"/>
      <w:bookmarkStart w:id="120" w:name="_Toc16788535"/>
      <w:r>
        <w:rPr>
          <w:lang w:val="en-US"/>
        </w:rPr>
        <w:t>With long RTTs the risk of RLC stalling</w:t>
      </w:r>
      <w:r w:rsidR="0044051C">
        <w:rPr>
          <w:lang w:val="en-US"/>
        </w:rPr>
        <w:t>,</w:t>
      </w:r>
      <w:r>
        <w:rPr>
          <w:lang w:val="en-US"/>
        </w:rPr>
        <w:t xml:space="preserve"> due to </w:t>
      </w:r>
      <w:r w:rsidR="0044051C">
        <w:rPr>
          <w:lang w:val="en-US"/>
        </w:rPr>
        <w:t xml:space="preserve">a </w:t>
      </w:r>
      <w:r>
        <w:rPr>
          <w:lang w:val="en-US"/>
        </w:rPr>
        <w:t>too small RLC window</w:t>
      </w:r>
      <w:r w:rsidR="0044051C">
        <w:rPr>
          <w:lang w:val="en-US"/>
        </w:rPr>
        <w:t>,</w:t>
      </w:r>
      <w:r>
        <w:rPr>
          <w:lang w:val="en-US"/>
        </w:rPr>
        <w:t xml:space="preserve"> is increased.</w:t>
      </w:r>
    </w:p>
    <w:p w14:paraId="576E85C4" w14:textId="4509C67B" w:rsidR="0044051C" w:rsidRDefault="0044051C" w:rsidP="00FC6EAF">
      <w:pPr>
        <w:rPr>
          <w:lang w:val="en-US"/>
        </w:rPr>
      </w:pPr>
      <w:r w:rsidRPr="00493802">
        <w:rPr>
          <w:lang w:val="en-US"/>
        </w:rPr>
        <w:t>In the WID objectives it is include that:</w:t>
      </w:r>
    </w:p>
    <w:p w14:paraId="23103CBE" w14:textId="751ED046" w:rsidR="0044051C" w:rsidRPr="0044051C" w:rsidRDefault="0044051C" w:rsidP="0044051C">
      <w:pPr>
        <w:pStyle w:val="ListParagraph"/>
        <w:numPr>
          <w:ilvl w:val="0"/>
          <w:numId w:val="21"/>
        </w:numPr>
        <w:rPr>
          <w:rFonts w:ascii="Times New Roman" w:hAnsi="Times New Roman"/>
          <w:szCs w:val="20"/>
          <w:lang w:val="en-US"/>
        </w:rPr>
      </w:pPr>
      <w:r w:rsidRPr="0044051C">
        <w:rPr>
          <w:rFonts w:ascii="Times New Roman" w:hAnsi="Times New Roman"/>
          <w:szCs w:val="20"/>
          <w:lang w:val="en-US"/>
        </w:rPr>
        <w:t>Sequence Numbers: extension of the SN space only for GEO scenarios</w:t>
      </w:r>
    </w:p>
    <w:p w14:paraId="51F48915" w14:textId="7AB7AF87" w:rsidR="0044051C" w:rsidRDefault="0044051C" w:rsidP="00FC6EAF">
      <w:pPr>
        <w:rPr>
          <w:lang w:val="en-US"/>
        </w:rPr>
      </w:pPr>
    </w:p>
    <w:p w14:paraId="73D5D4FC" w14:textId="2723D950" w:rsidR="0044051C" w:rsidRDefault="0044051C" w:rsidP="00FC6EAF">
      <w:pPr>
        <w:rPr>
          <w:rFonts w:cs="Arial"/>
          <w:lang w:val="en-US"/>
        </w:rPr>
      </w:pPr>
      <w:r w:rsidRPr="00FC6EAF">
        <w:rPr>
          <w:rFonts w:cs="Arial"/>
          <w:lang w:val="en-US"/>
        </w:rPr>
        <w:t>The extension of</w:t>
      </w:r>
      <w:r>
        <w:rPr>
          <w:rFonts w:cs="Arial"/>
          <w:lang w:val="en-US"/>
        </w:rPr>
        <w:t xml:space="preserve"> the SN space for GEO scenarios</w:t>
      </w:r>
      <w:r w:rsidRPr="0044051C">
        <w:rPr>
          <w:rFonts w:cs="Arial"/>
          <w:lang w:val="en-US"/>
        </w:rPr>
        <w:t xml:space="preserve"> in NTN should be further investigated i</w:t>
      </w:r>
      <w:r>
        <w:rPr>
          <w:rFonts w:cs="Arial"/>
          <w:lang w:val="en-US"/>
        </w:rPr>
        <w:t>n</w:t>
      </w:r>
      <w:r w:rsidRPr="0044051C">
        <w:rPr>
          <w:rFonts w:cs="Arial"/>
          <w:lang w:val="en-US"/>
        </w:rPr>
        <w:t xml:space="preserve"> Rel-17 and simulations should be used to support the need of an extension.</w:t>
      </w:r>
      <w:r w:rsidR="009124C4">
        <w:rPr>
          <w:rFonts w:cs="Arial"/>
          <w:lang w:val="en-US"/>
        </w:rPr>
        <w:t xml:space="preserve"> In fact, the motivation for such extension is not strong, as detailed in TR 38.821. The only identified scenario</w:t>
      </w:r>
      <w:r w:rsidR="00AF2B32">
        <w:rPr>
          <w:rFonts w:cs="Arial"/>
          <w:lang w:val="en-US"/>
        </w:rPr>
        <w:t xml:space="preserve"> in the Rel-16 SI phase</w:t>
      </w:r>
      <w:r w:rsidR="009124C4">
        <w:rPr>
          <w:rFonts w:cs="Arial"/>
          <w:lang w:val="en-US"/>
        </w:rPr>
        <w:t xml:space="preserve"> is that airplane connectivity with 360 Mbps data rate requirement cannot be met by GEO associated with RLC SDU of 500 bytes</w:t>
      </w:r>
      <w:r w:rsidR="00FB22EC">
        <w:rPr>
          <w:rFonts w:cs="Arial"/>
          <w:lang w:val="en-US"/>
        </w:rPr>
        <w:t xml:space="preserve"> (that provides 350 Mbps data rate)</w:t>
      </w:r>
      <w:r w:rsidR="009124C4">
        <w:rPr>
          <w:rFonts w:cs="Arial"/>
          <w:lang w:val="en-US"/>
        </w:rPr>
        <w:t>. This is quite a corner case.</w:t>
      </w:r>
      <w:r w:rsidR="00FB22EC">
        <w:rPr>
          <w:rFonts w:cs="Arial"/>
          <w:lang w:val="en-US"/>
        </w:rPr>
        <w:t xml:space="preserve"> In addition, the airplane connectivity with 360 Mbps data rate requirement is just informative, i.e., it is not a mandated requirement.</w:t>
      </w:r>
    </w:p>
    <w:p w14:paraId="745FA04D" w14:textId="28F06039" w:rsidR="009124C4" w:rsidRPr="00B571BB" w:rsidRDefault="009124C4" w:rsidP="00B571BB">
      <w:pPr>
        <w:pStyle w:val="Observation"/>
        <w:overflowPunct/>
        <w:autoSpaceDE/>
        <w:autoSpaceDN/>
        <w:adjustRightInd/>
        <w:spacing w:after="160" w:line="259" w:lineRule="auto"/>
        <w:jc w:val="left"/>
        <w:textAlignment w:val="auto"/>
        <w:rPr>
          <w:lang w:val="en-US"/>
        </w:rPr>
      </w:pPr>
      <w:bookmarkStart w:id="121" w:name="_Toc47540188"/>
      <w:bookmarkStart w:id="122" w:name="_Toc47615482"/>
      <w:bookmarkStart w:id="123" w:name="_Toc47657070"/>
      <w:bookmarkStart w:id="124" w:name="_Toc47657242"/>
      <w:bookmarkStart w:id="125" w:name="_Toc47657457"/>
      <w:bookmarkStart w:id="126" w:name="_Toc53499589"/>
      <w:bookmarkStart w:id="127" w:name="_Toc53536579"/>
      <w:bookmarkStart w:id="128" w:name="_Toc53558788"/>
      <w:bookmarkStart w:id="129" w:name="_Toc53562256"/>
      <w:bookmarkStart w:id="130" w:name="_Toc54047400"/>
      <w:bookmarkStart w:id="131" w:name="_Toc54090680"/>
      <w:bookmarkStart w:id="132" w:name="_Toc54260718"/>
      <w:bookmarkStart w:id="133" w:name="_Toc54260769"/>
      <w:r>
        <w:rPr>
          <w:lang w:val="en-US"/>
        </w:rPr>
        <w:t>Extension of the SN space in RLC is not critical for NTN.</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545E3B32" w14:textId="4C900EB0" w:rsidR="00EE5E4D" w:rsidRPr="0044051C" w:rsidRDefault="00EE5E4D" w:rsidP="00EE5E4D">
      <w:pPr>
        <w:pStyle w:val="Proposal"/>
        <w:rPr>
          <w:rFonts w:cs="Arial"/>
          <w:lang w:val="en-US"/>
        </w:rPr>
      </w:pPr>
      <w:bookmarkStart w:id="134" w:name="_Toc53536583"/>
      <w:bookmarkStart w:id="135" w:name="_Toc53558792"/>
      <w:bookmarkStart w:id="136" w:name="_Toc53562260"/>
      <w:bookmarkStart w:id="137" w:name="_Toc54047406"/>
      <w:bookmarkStart w:id="138" w:name="_Toc54090686"/>
      <w:bookmarkStart w:id="139" w:name="_Toc54260724"/>
      <w:bookmarkStart w:id="140" w:name="_Toc54260775"/>
      <w:bookmarkEnd w:id="118"/>
      <w:bookmarkEnd w:id="119"/>
      <w:bookmarkEnd w:id="120"/>
      <w:r>
        <w:rPr>
          <w:rFonts w:cs="Arial"/>
          <w:lang w:val="en-US"/>
        </w:rPr>
        <w:t>The existing RLC SN space is sufficient to support NTNs.</w:t>
      </w:r>
      <w:bookmarkEnd w:id="134"/>
      <w:bookmarkEnd w:id="135"/>
      <w:bookmarkEnd w:id="136"/>
      <w:bookmarkEnd w:id="137"/>
      <w:bookmarkEnd w:id="138"/>
      <w:bookmarkEnd w:id="139"/>
      <w:bookmarkEnd w:id="140"/>
    </w:p>
    <w:p w14:paraId="12CEFFC3" w14:textId="77777777" w:rsidR="00EE5E4D" w:rsidRPr="001E7EE5" w:rsidRDefault="00EE5E4D" w:rsidP="001E7EE5">
      <w:pPr>
        <w:rPr>
          <w:lang w:val="en-GB" w:eastAsia="zh-CN"/>
        </w:rPr>
      </w:pPr>
    </w:p>
    <w:p w14:paraId="419194FE" w14:textId="1C46FC8D" w:rsidR="009124C4" w:rsidRDefault="009124C4" w:rsidP="00B571BB">
      <w:pPr>
        <w:pStyle w:val="Heading2"/>
      </w:pPr>
      <w:r>
        <w:t>P</w:t>
      </w:r>
      <w:r w:rsidR="00FB22EC">
        <w:t>DCP</w:t>
      </w:r>
    </w:p>
    <w:p w14:paraId="52BC7462" w14:textId="4B46866E" w:rsidR="00FB22EC" w:rsidRPr="00FB22EC" w:rsidRDefault="00FB22EC" w:rsidP="00FB22EC">
      <w:pPr>
        <w:rPr>
          <w:rFonts w:cs="Arial"/>
          <w:lang w:val="en-GB" w:eastAsia="zh-CN"/>
        </w:rPr>
      </w:pPr>
      <w:r>
        <w:rPr>
          <w:rFonts w:cs="Arial"/>
          <w:lang w:val="en-GB" w:eastAsia="zh-CN"/>
        </w:rPr>
        <w:t>For PDC</w:t>
      </w:r>
      <w:r w:rsidR="00622EC8">
        <w:rPr>
          <w:rFonts w:cs="Arial"/>
          <w:lang w:val="en-GB" w:eastAsia="zh-CN"/>
        </w:rPr>
        <w:t>P</w:t>
      </w:r>
      <w:r>
        <w:rPr>
          <w:rFonts w:cs="Arial"/>
          <w:lang w:val="en-GB" w:eastAsia="zh-CN"/>
        </w:rPr>
        <w:t>, t</w:t>
      </w:r>
      <w:r w:rsidRPr="00FB22EC">
        <w:rPr>
          <w:rFonts w:cs="Arial"/>
          <w:lang w:val="en-GB" w:eastAsia="zh-CN"/>
        </w:rPr>
        <w:t>he WID objectives also include</w:t>
      </w:r>
    </w:p>
    <w:p w14:paraId="007D10C7" w14:textId="77777777" w:rsidR="00FB22EC" w:rsidRPr="00FB22EC" w:rsidRDefault="009124C4" w:rsidP="00B571BB">
      <w:pPr>
        <w:pStyle w:val="ListParagraph"/>
        <w:numPr>
          <w:ilvl w:val="0"/>
          <w:numId w:val="21"/>
        </w:numPr>
        <w:rPr>
          <w:rFonts w:cs="Arial"/>
          <w:lang w:val="en-GB" w:eastAsia="zh-CN"/>
        </w:rPr>
      </w:pPr>
      <w:r w:rsidRPr="00FB22EC">
        <w:rPr>
          <w:rFonts w:cs="Arial"/>
          <w:szCs w:val="20"/>
          <w:lang w:val="en-US"/>
        </w:rPr>
        <w:t>SDU discard: Extension of t</w:t>
      </w:r>
      <w:r w:rsidRPr="00FB22EC">
        <w:rPr>
          <w:rFonts w:cs="Arial"/>
          <w:szCs w:val="20"/>
          <w:lang w:val="en-US" w:eastAsia="ja-JP"/>
        </w:rPr>
        <w:t xml:space="preserve">he value range of </w:t>
      </w:r>
      <w:r w:rsidRPr="00FB22EC">
        <w:rPr>
          <w:rFonts w:cs="Arial"/>
          <w:i/>
          <w:szCs w:val="20"/>
          <w:lang w:val="en-US" w:eastAsia="ja-JP"/>
        </w:rPr>
        <w:t>discardTimer</w:t>
      </w:r>
      <w:r w:rsidRPr="00FB22EC">
        <w:rPr>
          <w:rFonts w:cs="Arial"/>
          <w:szCs w:val="20"/>
          <w:lang w:val="en-US"/>
        </w:rPr>
        <w:t>.</w:t>
      </w:r>
    </w:p>
    <w:p w14:paraId="3BF7F848" w14:textId="46B717B0" w:rsidR="009124C4" w:rsidRPr="00B571BB" w:rsidRDefault="009124C4" w:rsidP="00FB22EC">
      <w:pPr>
        <w:pStyle w:val="ListParagraph"/>
        <w:numPr>
          <w:ilvl w:val="0"/>
          <w:numId w:val="21"/>
        </w:numPr>
        <w:rPr>
          <w:rFonts w:cs="Arial"/>
          <w:lang w:val="en-GB" w:eastAsia="zh-CN"/>
        </w:rPr>
      </w:pPr>
      <w:r w:rsidRPr="00FB22EC">
        <w:rPr>
          <w:rFonts w:cs="Arial"/>
          <w:szCs w:val="20"/>
          <w:lang w:val="en-US"/>
        </w:rPr>
        <w:t>Sequence Numbers: extension of the SN space for GEO scenarios.</w:t>
      </w:r>
    </w:p>
    <w:p w14:paraId="7914917A" w14:textId="09E53EEF" w:rsidR="00FB22EC" w:rsidRDefault="00FB22EC" w:rsidP="00FB22EC">
      <w:pPr>
        <w:rPr>
          <w:rFonts w:cs="Arial"/>
          <w:lang w:val="en-GB" w:eastAsia="zh-CN"/>
        </w:rPr>
      </w:pPr>
    </w:p>
    <w:p w14:paraId="3AAC1684" w14:textId="47A82C9F" w:rsidR="00FB22EC" w:rsidRDefault="00FB22EC" w:rsidP="00FB22EC">
      <w:pPr>
        <w:rPr>
          <w:rFonts w:cs="Arial"/>
          <w:lang w:val="en-GB" w:eastAsia="zh-CN"/>
        </w:rPr>
      </w:pPr>
      <w:r>
        <w:rPr>
          <w:rFonts w:cs="Arial"/>
          <w:lang w:val="en-GB" w:eastAsia="zh-CN"/>
        </w:rPr>
        <w:t xml:space="preserve">In Rel-16 NTN SI, SDU discard was discussed but whether extending the value range of </w:t>
      </w:r>
      <w:r w:rsidRPr="00B571BB">
        <w:rPr>
          <w:rFonts w:cs="Arial"/>
          <w:i/>
          <w:lang w:val="en-GB" w:eastAsia="zh-CN"/>
        </w:rPr>
        <w:t>discardTimer</w:t>
      </w:r>
      <w:r>
        <w:rPr>
          <w:rFonts w:cs="Arial"/>
          <w:lang w:val="en-GB" w:eastAsia="zh-CN"/>
        </w:rPr>
        <w:t xml:space="preserve"> is necessary or not was not concluded. So, per the WID objective, this can be further discussed in Rel-17 to conclude this topic, whether</w:t>
      </w:r>
      <w:r w:rsidR="00991A3F">
        <w:rPr>
          <w:rFonts w:cs="Arial"/>
          <w:lang w:val="en-GB" w:eastAsia="zh-CN"/>
        </w:rPr>
        <w:t xml:space="preserve"> the</w:t>
      </w:r>
      <w:r>
        <w:rPr>
          <w:rFonts w:cs="Arial"/>
          <w:lang w:val="en-GB" w:eastAsia="zh-CN"/>
        </w:rPr>
        <w:t xml:space="preserve"> extension is needed or not.</w:t>
      </w:r>
    </w:p>
    <w:p w14:paraId="19C49C44" w14:textId="7DD86C1B" w:rsidR="00BE6696" w:rsidRDefault="00BE6696" w:rsidP="00FB22EC">
      <w:pPr>
        <w:rPr>
          <w:rFonts w:cs="Arial"/>
          <w:lang w:val="en-GB" w:eastAsia="zh-CN"/>
        </w:rPr>
      </w:pPr>
      <w:r>
        <w:rPr>
          <w:rFonts w:cs="Arial"/>
          <w:lang w:val="en-GB" w:eastAsia="zh-CN"/>
        </w:rPr>
        <w:t xml:space="preserve">The PDCP discardTimer </w:t>
      </w:r>
      <w:r w:rsidR="007F7A2D">
        <w:rPr>
          <w:rFonts w:cs="Arial"/>
          <w:lang w:val="en-GB" w:eastAsia="zh-CN"/>
        </w:rPr>
        <w:t>and t-Reordering timer are related to the</w:t>
      </w:r>
      <w:r>
        <w:rPr>
          <w:rFonts w:cs="Arial"/>
          <w:lang w:val="en-GB" w:eastAsia="zh-CN"/>
        </w:rPr>
        <w:t xml:space="preserve"> actual QoS requirements, which are independent of the round trip </w:t>
      </w:r>
      <w:r w:rsidR="00FF45CC">
        <w:rPr>
          <w:rFonts w:cs="Arial"/>
          <w:lang w:val="en-GB" w:eastAsia="zh-CN"/>
        </w:rPr>
        <w:t>time</w:t>
      </w:r>
      <w:r>
        <w:rPr>
          <w:rFonts w:cs="Arial"/>
          <w:lang w:val="en-GB" w:eastAsia="zh-CN"/>
        </w:rPr>
        <w:t xml:space="preserve"> (</w:t>
      </w:r>
      <w:r w:rsidR="00FF45CC">
        <w:rPr>
          <w:rFonts w:cs="Arial"/>
          <w:lang w:val="en-GB" w:eastAsia="zh-CN"/>
        </w:rPr>
        <w:t>RTT</w:t>
      </w:r>
      <w:r>
        <w:rPr>
          <w:rFonts w:cs="Arial"/>
          <w:lang w:val="en-GB" w:eastAsia="zh-CN"/>
        </w:rPr>
        <w:t xml:space="preserve">), and there are no new 5QIs defined for NTNs. </w:t>
      </w:r>
    </w:p>
    <w:p w14:paraId="6DF6219F" w14:textId="6894F4AC" w:rsidR="00BE6696" w:rsidRPr="00567160" w:rsidRDefault="007F7A2D" w:rsidP="00BE6696">
      <w:pPr>
        <w:pStyle w:val="Observation"/>
        <w:overflowPunct/>
        <w:autoSpaceDE/>
        <w:autoSpaceDN/>
        <w:adjustRightInd/>
        <w:spacing w:after="160" w:line="259" w:lineRule="auto"/>
        <w:jc w:val="left"/>
        <w:textAlignment w:val="auto"/>
        <w:rPr>
          <w:lang w:val="en-US"/>
        </w:rPr>
      </w:pPr>
      <w:bookmarkStart w:id="141" w:name="_Toc53536580"/>
      <w:bookmarkStart w:id="142" w:name="_Toc53558789"/>
      <w:bookmarkStart w:id="143" w:name="_Toc53562257"/>
      <w:bookmarkStart w:id="144" w:name="_Toc54047401"/>
      <w:bookmarkStart w:id="145" w:name="_Toc54090681"/>
      <w:bookmarkStart w:id="146" w:name="_Toc54260719"/>
      <w:bookmarkStart w:id="147" w:name="_Toc54260770"/>
      <w:r>
        <w:rPr>
          <w:lang w:val="en-US"/>
        </w:rPr>
        <w:t>T</w:t>
      </w:r>
      <w:r w:rsidR="00BE6696">
        <w:rPr>
          <w:lang w:val="en-US"/>
        </w:rPr>
        <w:t xml:space="preserve">he PDCP discardTimer </w:t>
      </w:r>
      <w:r>
        <w:rPr>
          <w:lang w:val="en-US"/>
        </w:rPr>
        <w:t xml:space="preserve">and t-Reordering timer do not </w:t>
      </w:r>
      <w:r w:rsidR="00BE6696">
        <w:rPr>
          <w:lang w:val="en-US"/>
        </w:rPr>
        <w:t xml:space="preserve">need </w:t>
      </w:r>
      <w:r>
        <w:rPr>
          <w:lang w:val="en-US"/>
        </w:rPr>
        <w:t xml:space="preserve">to be updated </w:t>
      </w:r>
      <w:r w:rsidR="00BE6696">
        <w:rPr>
          <w:lang w:val="en-US"/>
        </w:rPr>
        <w:t>as there are no new QoS requirements defined</w:t>
      </w:r>
      <w:r>
        <w:rPr>
          <w:lang w:val="en-US"/>
        </w:rPr>
        <w:t xml:space="preserve"> for NTNs</w:t>
      </w:r>
      <w:r w:rsidR="00BE6696">
        <w:rPr>
          <w:lang w:val="en-US"/>
        </w:rPr>
        <w:t>.</w:t>
      </w:r>
      <w:bookmarkEnd w:id="141"/>
      <w:bookmarkEnd w:id="142"/>
      <w:bookmarkEnd w:id="143"/>
      <w:bookmarkEnd w:id="144"/>
      <w:bookmarkEnd w:id="145"/>
      <w:bookmarkEnd w:id="146"/>
      <w:bookmarkEnd w:id="147"/>
    </w:p>
    <w:p w14:paraId="357B6764" w14:textId="2D391E9D" w:rsidR="0046750B" w:rsidRPr="00567160" w:rsidRDefault="0046750B" w:rsidP="00BE6696">
      <w:pPr>
        <w:pStyle w:val="Observation"/>
        <w:overflowPunct/>
        <w:autoSpaceDE/>
        <w:autoSpaceDN/>
        <w:adjustRightInd/>
        <w:spacing w:after="160" w:line="259" w:lineRule="auto"/>
        <w:jc w:val="left"/>
        <w:textAlignment w:val="auto"/>
        <w:rPr>
          <w:lang w:val="en-US"/>
        </w:rPr>
      </w:pPr>
      <w:bookmarkStart w:id="148" w:name="_Toc54047402"/>
      <w:bookmarkStart w:id="149" w:name="_Toc54090682"/>
      <w:bookmarkStart w:id="150" w:name="_Toc54260720"/>
      <w:bookmarkStart w:id="151" w:name="_Toc54260771"/>
      <w:r>
        <w:rPr>
          <w:lang w:val="en-US"/>
        </w:rPr>
        <w:t>SA2 are discussing QoS requirements for NTNs.</w:t>
      </w:r>
      <w:bookmarkEnd w:id="148"/>
      <w:bookmarkEnd w:id="149"/>
      <w:bookmarkEnd w:id="150"/>
      <w:bookmarkEnd w:id="151"/>
    </w:p>
    <w:p w14:paraId="1697DF29" w14:textId="62591E95" w:rsidR="0046750B" w:rsidRPr="0044051C" w:rsidRDefault="0046750B" w:rsidP="0046750B">
      <w:pPr>
        <w:pStyle w:val="Proposal"/>
        <w:rPr>
          <w:rFonts w:cs="Arial"/>
          <w:lang w:val="en-US"/>
        </w:rPr>
      </w:pPr>
      <w:bookmarkStart w:id="152" w:name="_Toc54047407"/>
      <w:bookmarkStart w:id="153" w:name="_Toc54090687"/>
      <w:bookmarkStart w:id="154" w:name="_Toc54260725"/>
      <w:bookmarkStart w:id="155" w:name="_Toc54260776"/>
      <w:r>
        <w:rPr>
          <w:rFonts w:cs="Arial"/>
          <w:lang w:val="en-US"/>
        </w:rPr>
        <w:t xml:space="preserve">There is no need to update </w:t>
      </w:r>
      <w:r>
        <w:rPr>
          <w:lang w:val="en-US"/>
        </w:rPr>
        <w:t>PDCP discardTimer and PDCP t-Reordering timer. RAN2 may revisit this conclusion if new QoS requirements (5QIs) are introduced by SA2.</w:t>
      </w:r>
      <w:bookmarkEnd w:id="152"/>
      <w:bookmarkEnd w:id="153"/>
      <w:bookmarkEnd w:id="154"/>
      <w:bookmarkEnd w:id="155"/>
    </w:p>
    <w:p w14:paraId="6630AF8B" w14:textId="2FFA58D5" w:rsidR="00FB22EC" w:rsidRDefault="00FB22EC" w:rsidP="00FB22EC">
      <w:pPr>
        <w:rPr>
          <w:rFonts w:cs="Arial"/>
          <w:lang w:val="en-US"/>
        </w:rPr>
      </w:pPr>
      <w:r>
        <w:rPr>
          <w:rFonts w:cs="Arial"/>
          <w:lang w:val="en-GB" w:eastAsia="zh-CN"/>
        </w:rPr>
        <w:t xml:space="preserve">For the </w:t>
      </w:r>
      <w:r w:rsidRPr="00FB22EC">
        <w:rPr>
          <w:rFonts w:cs="Arial"/>
          <w:lang w:val="en-GB" w:eastAsia="zh-CN"/>
        </w:rPr>
        <w:t>extension of the SN space for GEO scenarios</w:t>
      </w:r>
      <w:r>
        <w:rPr>
          <w:rFonts w:cs="Arial"/>
          <w:lang w:val="en-GB" w:eastAsia="zh-CN"/>
        </w:rPr>
        <w:t xml:space="preserve">, </w:t>
      </w:r>
      <w:r>
        <w:rPr>
          <w:rFonts w:cs="Arial"/>
          <w:lang w:val="en-US"/>
        </w:rPr>
        <w:t>the motivation for such extension is not strong, as detailed in TR 38.821. The only identified scenario</w:t>
      </w:r>
      <w:r w:rsidR="00AF2B32">
        <w:rPr>
          <w:rFonts w:cs="Arial"/>
          <w:lang w:val="en-US"/>
        </w:rPr>
        <w:t xml:space="preserve"> in the Rel-16 SI phase</w:t>
      </w:r>
      <w:r>
        <w:rPr>
          <w:rFonts w:cs="Arial"/>
          <w:lang w:val="en-US"/>
        </w:rPr>
        <w:t xml:space="preserve"> is that airplane connectivity with 360 Mbps data rate requirement cannot be met by GEO associated with PDCP SDU of 500 bytes (that provides 350 Mbps data rate). This is quite a corner case. In addition, the airplane connectivity with 360 Mbps data rate requirement is just informative, i.e., it is not a mandated requirement.</w:t>
      </w:r>
    </w:p>
    <w:p w14:paraId="1D79DF66" w14:textId="43EF388E" w:rsidR="00FB22EC" w:rsidRPr="00567160" w:rsidRDefault="00FB22EC" w:rsidP="00FB22EC">
      <w:pPr>
        <w:pStyle w:val="Observation"/>
        <w:overflowPunct/>
        <w:autoSpaceDE/>
        <w:autoSpaceDN/>
        <w:adjustRightInd/>
        <w:spacing w:after="160" w:line="259" w:lineRule="auto"/>
        <w:jc w:val="left"/>
        <w:textAlignment w:val="auto"/>
        <w:rPr>
          <w:lang w:val="en-US"/>
        </w:rPr>
      </w:pPr>
      <w:bookmarkStart w:id="156" w:name="_Toc47540189"/>
      <w:bookmarkStart w:id="157" w:name="_Toc47615483"/>
      <w:bookmarkStart w:id="158" w:name="_Toc47657071"/>
      <w:bookmarkStart w:id="159" w:name="_Toc47657243"/>
      <w:bookmarkStart w:id="160" w:name="_Toc47657458"/>
      <w:bookmarkStart w:id="161" w:name="_Toc53499590"/>
      <w:bookmarkStart w:id="162" w:name="_Toc53536581"/>
      <w:bookmarkStart w:id="163" w:name="_Toc53558790"/>
      <w:bookmarkStart w:id="164" w:name="_Toc53562258"/>
      <w:bookmarkStart w:id="165" w:name="_Toc54047403"/>
      <w:bookmarkStart w:id="166" w:name="_Toc54090683"/>
      <w:bookmarkStart w:id="167" w:name="_Toc54260721"/>
      <w:bookmarkStart w:id="168" w:name="_Toc54260772"/>
      <w:r>
        <w:rPr>
          <w:lang w:val="en-US"/>
        </w:rPr>
        <w:t>Extension of the SN space in PDCP is not critical for NTN.</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2D827B27" w14:textId="52D697DC" w:rsidR="00EE5E4D" w:rsidRPr="0044051C" w:rsidRDefault="00EE5E4D" w:rsidP="00EE5E4D">
      <w:pPr>
        <w:pStyle w:val="Proposal"/>
        <w:rPr>
          <w:rFonts w:cs="Arial"/>
          <w:lang w:val="en-US"/>
        </w:rPr>
      </w:pPr>
      <w:bookmarkStart w:id="169" w:name="_Toc53536584"/>
      <w:bookmarkStart w:id="170" w:name="_Toc53558793"/>
      <w:bookmarkStart w:id="171" w:name="_Toc53562261"/>
      <w:bookmarkStart w:id="172" w:name="_Toc54047408"/>
      <w:bookmarkStart w:id="173" w:name="_Toc54090688"/>
      <w:bookmarkStart w:id="174" w:name="_Toc54260726"/>
      <w:bookmarkStart w:id="175" w:name="_Toc54260777"/>
      <w:r>
        <w:rPr>
          <w:rFonts w:cs="Arial"/>
          <w:lang w:val="en-US"/>
        </w:rPr>
        <w:t>The existing PDCP SN space is sufficient to support NTNs.</w:t>
      </w:r>
      <w:bookmarkEnd w:id="169"/>
      <w:bookmarkEnd w:id="170"/>
      <w:bookmarkEnd w:id="171"/>
      <w:bookmarkEnd w:id="172"/>
      <w:bookmarkEnd w:id="173"/>
      <w:bookmarkEnd w:id="174"/>
      <w:bookmarkEnd w:id="175"/>
    </w:p>
    <w:p w14:paraId="0345261C" w14:textId="77777777" w:rsidR="004C09E6" w:rsidRPr="000714AC" w:rsidRDefault="004C09E6" w:rsidP="004C09E6">
      <w:pPr>
        <w:pStyle w:val="Heading1"/>
        <w:rPr>
          <w:lang w:val="en-US"/>
        </w:rPr>
      </w:pPr>
      <w:r w:rsidRPr="000714AC">
        <w:rPr>
          <w:lang w:val="en-US"/>
        </w:rPr>
        <w:t>Conclusion</w:t>
      </w:r>
    </w:p>
    <w:p w14:paraId="0ED3A484" w14:textId="3F65E986" w:rsidR="004C09E6" w:rsidRPr="000714AC" w:rsidRDefault="004C09E6" w:rsidP="004C09E6">
      <w:pPr>
        <w:pStyle w:val="BodyText"/>
        <w:rPr>
          <w:lang w:val="en-US"/>
        </w:rPr>
      </w:pPr>
      <w:bookmarkStart w:id="176" w:name="_Hlk16780604"/>
      <w:r w:rsidRPr="000714AC">
        <w:rPr>
          <w:lang w:val="en-US"/>
        </w:rPr>
        <w:t xml:space="preserve">In </w:t>
      </w:r>
      <w:r w:rsidR="00D37899">
        <w:rPr>
          <w:lang w:val="en-US"/>
        </w:rPr>
        <w:t xml:space="preserve">the above </w:t>
      </w:r>
      <w:r w:rsidRPr="000714AC">
        <w:rPr>
          <w:lang w:val="en-US"/>
        </w:rPr>
        <w:t>section</w:t>
      </w:r>
      <w:r w:rsidR="00D37899">
        <w:rPr>
          <w:lang w:val="en-US"/>
        </w:rPr>
        <w:t>s</w:t>
      </w:r>
      <w:r w:rsidRPr="000714AC">
        <w:rPr>
          <w:lang w:val="en-US"/>
        </w:rPr>
        <w:t xml:space="preserve"> we made the following observations:</w:t>
      </w:r>
    </w:p>
    <w:p w14:paraId="2F84213C" w14:textId="77777777" w:rsidR="00FF45CC" w:rsidRDefault="004C09E6">
      <w:pPr>
        <w:pStyle w:val="TOC1"/>
        <w:rPr>
          <w:rFonts w:asciiTheme="minorHAnsi" w:eastAsiaTheme="minorEastAsia" w:hAnsiTheme="minorHAnsi" w:cstheme="minorBidi"/>
          <w:b w:val="0"/>
          <w:sz w:val="22"/>
          <w:lang w:val="en-GB" w:eastAsia="en-GB"/>
        </w:rPr>
      </w:pPr>
      <w:r w:rsidRPr="000714AC">
        <w:rPr>
          <w:b w:val="0"/>
          <w:bCs/>
          <w:noProof w:val="0"/>
        </w:rPr>
        <w:fldChar w:fldCharType="begin"/>
      </w:r>
      <w:r w:rsidRPr="000714AC">
        <w:rPr>
          <w:bCs/>
          <w:noProof w:val="0"/>
        </w:rPr>
        <w:instrText xml:space="preserve"> TOC \f \n \t "Observation;1" </w:instrText>
      </w:r>
      <w:r w:rsidRPr="000714AC">
        <w:rPr>
          <w:b w:val="0"/>
          <w:bCs/>
          <w:noProof w:val="0"/>
        </w:rPr>
        <w:fldChar w:fldCharType="separate"/>
      </w:r>
      <w:r w:rsidR="00FF45CC" w:rsidRPr="00C84E0E">
        <w:t>Observation 1</w:t>
      </w:r>
      <w:r w:rsidR="00FF45CC">
        <w:rPr>
          <w:rFonts w:asciiTheme="minorHAnsi" w:eastAsiaTheme="minorEastAsia" w:hAnsiTheme="minorHAnsi" w:cstheme="minorBidi"/>
          <w:b w:val="0"/>
          <w:sz w:val="22"/>
          <w:lang w:val="en-GB" w:eastAsia="en-GB"/>
        </w:rPr>
        <w:tab/>
      </w:r>
      <w:r w:rsidR="00FF45CC" w:rsidRPr="00C84E0E">
        <w:t>Extension of the SN space in RLC is not critical for NTN.</w:t>
      </w:r>
    </w:p>
    <w:p w14:paraId="7AFBD681" w14:textId="77777777" w:rsidR="00FF45CC" w:rsidRDefault="00FF45CC">
      <w:pPr>
        <w:pStyle w:val="TOC1"/>
        <w:rPr>
          <w:rFonts w:asciiTheme="minorHAnsi" w:eastAsiaTheme="minorEastAsia" w:hAnsiTheme="minorHAnsi" w:cstheme="minorBidi"/>
          <w:b w:val="0"/>
          <w:sz w:val="22"/>
          <w:lang w:val="en-GB" w:eastAsia="en-GB"/>
        </w:rPr>
      </w:pPr>
      <w:r w:rsidRPr="00C84E0E">
        <w:t>Observation 2</w:t>
      </w:r>
      <w:r>
        <w:rPr>
          <w:rFonts w:asciiTheme="minorHAnsi" w:eastAsiaTheme="minorEastAsia" w:hAnsiTheme="minorHAnsi" w:cstheme="minorBidi"/>
          <w:b w:val="0"/>
          <w:sz w:val="22"/>
          <w:lang w:val="en-GB" w:eastAsia="en-GB"/>
        </w:rPr>
        <w:tab/>
      </w:r>
      <w:r w:rsidRPr="00C84E0E">
        <w:t>The PDCP discardTimer and t-Reordering timer do not need to be updated as there are no new QoS requirements defined for NTNs.</w:t>
      </w:r>
    </w:p>
    <w:p w14:paraId="2A611FA8" w14:textId="77777777" w:rsidR="00FF45CC" w:rsidRDefault="00FF45CC">
      <w:pPr>
        <w:pStyle w:val="TOC1"/>
        <w:rPr>
          <w:rFonts w:asciiTheme="minorHAnsi" w:eastAsiaTheme="minorEastAsia" w:hAnsiTheme="minorHAnsi" w:cstheme="minorBidi"/>
          <w:b w:val="0"/>
          <w:sz w:val="22"/>
          <w:lang w:val="en-GB" w:eastAsia="en-GB"/>
        </w:rPr>
      </w:pPr>
      <w:r w:rsidRPr="00C84E0E">
        <w:t>Observation 3</w:t>
      </w:r>
      <w:r>
        <w:rPr>
          <w:rFonts w:asciiTheme="minorHAnsi" w:eastAsiaTheme="minorEastAsia" w:hAnsiTheme="minorHAnsi" w:cstheme="minorBidi"/>
          <w:b w:val="0"/>
          <w:sz w:val="22"/>
          <w:lang w:val="en-GB" w:eastAsia="en-GB"/>
        </w:rPr>
        <w:tab/>
      </w:r>
      <w:r w:rsidRPr="00C84E0E">
        <w:t>SA2 are discussing QoS requirements for NTNs.</w:t>
      </w:r>
    </w:p>
    <w:p w14:paraId="6B082F32" w14:textId="77777777" w:rsidR="00FF45CC" w:rsidRDefault="00FF45CC">
      <w:pPr>
        <w:pStyle w:val="TOC1"/>
        <w:rPr>
          <w:rFonts w:asciiTheme="minorHAnsi" w:eastAsiaTheme="minorEastAsia" w:hAnsiTheme="minorHAnsi" w:cstheme="minorBidi"/>
          <w:b w:val="0"/>
          <w:sz w:val="22"/>
          <w:lang w:val="en-GB" w:eastAsia="en-GB"/>
        </w:rPr>
      </w:pPr>
      <w:r w:rsidRPr="00C84E0E">
        <w:t>Observation 4</w:t>
      </w:r>
      <w:r>
        <w:rPr>
          <w:rFonts w:asciiTheme="minorHAnsi" w:eastAsiaTheme="minorEastAsia" w:hAnsiTheme="minorHAnsi" w:cstheme="minorBidi"/>
          <w:b w:val="0"/>
          <w:sz w:val="22"/>
          <w:lang w:val="en-GB" w:eastAsia="en-GB"/>
        </w:rPr>
        <w:tab/>
      </w:r>
      <w:r w:rsidRPr="00C84E0E">
        <w:t>Extension of the SN space in PDCP is not critical for NTN.</w:t>
      </w:r>
    </w:p>
    <w:p w14:paraId="43B8CF1E" w14:textId="34076FBA" w:rsidR="004C09E6" w:rsidRPr="000714AC" w:rsidRDefault="004C09E6" w:rsidP="004C09E6">
      <w:pPr>
        <w:pStyle w:val="BodyText"/>
        <w:rPr>
          <w:b/>
          <w:bCs/>
          <w:lang w:val="en-US"/>
        </w:rPr>
      </w:pPr>
      <w:r w:rsidRPr="000714AC">
        <w:rPr>
          <w:b/>
          <w:bCs/>
          <w:lang w:val="en-US"/>
        </w:rPr>
        <w:fldChar w:fldCharType="end"/>
      </w:r>
    </w:p>
    <w:p w14:paraId="23EE90D6" w14:textId="77777777" w:rsidR="004C09E6" w:rsidRPr="000714AC" w:rsidRDefault="004C09E6" w:rsidP="004C09E6">
      <w:pPr>
        <w:pStyle w:val="BodyText"/>
        <w:rPr>
          <w:rFonts w:cs="Arial"/>
          <w:lang w:val="en-US"/>
        </w:rPr>
      </w:pPr>
      <w:r w:rsidRPr="000714AC">
        <w:rPr>
          <w:rFonts w:cs="Arial"/>
          <w:lang w:val="en-US"/>
        </w:rPr>
        <w:t>We propose the following:</w:t>
      </w:r>
    </w:p>
    <w:p w14:paraId="75043B83" w14:textId="77777777" w:rsidR="00FF45CC" w:rsidRDefault="004C09E6">
      <w:pPr>
        <w:pStyle w:val="TOC1"/>
        <w:rPr>
          <w:rFonts w:asciiTheme="minorHAnsi" w:eastAsiaTheme="minorEastAsia" w:hAnsiTheme="minorHAnsi" w:cstheme="minorBidi"/>
          <w:b w:val="0"/>
          <w:sz w:val="22"/>
          <w:lang w:val="en-GB" w:eastAsia="en-GB"/>
        </w:rPr>
      </w:pPr>
      <w:r w:rsidRPr="000714AC">
        <w:rPr>
          <w:rFonts w:cs="Arial"/>
          <w:b w:val="0"/>
          <w:bCs/>
          <w:noProof w:val="0"/>
        </w:rPr>
        <w:fldChar w:fldCharType="begin"/>
      </w:r>
      <w:r w:rsidRPr="000714AC">
        <w:rPr>
          <w:rFonts w:cs="Arial"/>
          <w:bCs/>
          <w:noProof w:val="0"/>
        </w:rPr>
        <w:instrText xml:space="preserve"> TOC \f \n \p " " \t "Proposal;1" </w:instrText>
      </w:r>
      <w:r w:rsidRPr="000714AC">
        <w:rPr>
          <w:rFonts w:cs="Arial"/>
          <w:b w:val="0"/>
          <w:bCs/>
          <w:noProof w:val="0"/>
        </w:rPr>
        <w:fldChar w:fldCharType="separate"/>
      </w:r>
      <w:r w:rsidR="00FF45CC" w:rsidRPr="0012373D">
        <w:rPr>
          <w:rFonts w:cs="Arial"/>
        </w:rPr>
        <w:t>Proposal 1</w:t>
      </w:r>
      <w:r w:rsidR="00FF45CC">
        <w:rPr>
          <w:rFonts w:asciiTheme="minorHAnsi" w:eastAsiaTheme="minorEastAsia" w:hAnsiTheme="minorHAnsi" w:cstheme="minorBidi"/>
          <w:b w:val="0"/>
          <w:sz w:val="22"/>
          <w:lang w:val="en-GB" w:eastAsia="en-GB"/>
        </w:rPr>
        <w:tab/>
      </w:r>
      <w:r w:rsidR="00FF45CC" w:rsidRPr="0012373D">
        <w:rPr>
          <w:rFonts w:cs="Arial"/>
        </w:rPr>
        <w:t xml:space="preserve">The timer </w:t>
      </w:r>
      <w:r w:rsidR="00FF45CC" w:rsidRPr="0012373D">
        <w:rPr>
          <w:rFonts w:cs="Arial"/>
          <w:i/>
        </w:rPr>
        <w:t>t-Reassembly</w:t>
      </w:r>
      <w:r w:rsidR="00FF45CC" w:rsidRPr="0012373D">
        <w:rPr>
          <w:rFonts w:cs="Arial"/>
          <w:iCs/>
        </w:rPr>
        <w:t xml:space="preserve"> value range is extended with larger values</w:t>
      </w:r>
    </w:p>
    <w:p w14:paraId="3E6C0029" w14:textId="77777777" w:rsidR="00FF45CC" w:rsidRDefault="00FF45CC">
      <w:pPr>
        <w:pStyle w:val="TOC1"/>
        <w:rPr>
          <w:rFonts w:asciiTheme="minorHAnsi" w:eastAsiaTheme="minorEastAsia" w:hAnsiTheme="minorHAnsi" w:cstheme="minorBidi"/>
          <w:b w:val="0"/>
          <w:sz w:val="22"/>
          <w:lang w:val="en-GB" w:eastAsia="en-GB"/>
        </w:rPr>
      </w:pPr>
      <w:r w:rsidRPr="0012373D">
        <w:rPr>
          <w:rFonts w:cs="Arial"/>
        </w:rPr>
        <w:t>Proposal 2</w:t>
      </w:r>
      <w:r>
        <w:rPr>
          <w:rFonts w:asciiTheme="minorHAnsi" w:eastAsiaTheme="minorEastAsia" w:hAnsiTheme="minorHAnsi" w:cstheme="minorBidi"/>
          <w:b w:val="0"/>
          <w:sz w:val="22"/>
          <w:lang w:val="en-GB" w:eastAsia="en-GB"/>
        </w:rPr>
        <w:tab/>
      </w:r>
      <w:r w:rsidRPr="0012373D">
        <w:rPr>
          <w:rFonts w:cs="Arial"/>
        </w:rPr>
        <w:t xml:space="preserve">Use RLC simulations to support the values to extend the </w:t>
      </w:r>
      <w:r w:rsidRPr="0012373D">
        <w:rPr>
          <w:rFonts w:cs="Arial"/>
          <w:i/>
        </w:rPr>
        <w:t>t-Reassembly</w:t>
      </w:r>
      <w:r w:rsidRPr="0012373D">
        <w:rPr>
          <w:rFonts w:cs="Arial"/>
        </w:rPr>
        <w:t xml:space="preserve"> </w:t>
      </w:r>
      <w:r w:rsidRPr="0012373D">
        <w:rPr>
          <w:rFonts w:cs="Arial"/>
          <w:iCs/>
        </w:rPr>
        <w:t>timer</w:t>
      </w:r>
    </w:p>
    <w:p w14:paraId="504EEA34" w14:textId="77777777" w:rsidR="00FF45CC" w:rsidRDefault="00FF45CC">
      <w:pPr>
        <w:pStyle w:val="TOC1"/>
        <w:rPr>
          <w:rFonts w:asciiTheme="minorHAnsi" w:eastAsiaTheme="minorEastAsia" w:hAnsiTheme="minorHAnsi" w:cstheme="minorBidi"/>
          <w:b w:val="0"/>
          <w:sz w:val="22"/>
          <w:lang w:val="en-GB" w:eastAsia="en-GB"/>
        </w:rPr>
      </w:pPr>
      <w:r w:rsidRPr="0012373D">
        <w:rPr>
          <w:rFonts w:cs="Arial"/>
        </w:rPr>
        <w:t>Proposal 3</w:t>
      </w:r>
      <w:r>
        <w:rPr>
          <w:rFonts w:asciiTheme="minorHAnsi" w:eastAsiaTheme="minorEastAsia" w:hAnsiTheme="minorHAnsi" w:cstheme="minorBidi"/>
          <w:b w:val="0"/>
          <w:sz w:val="22"/>
          <w:lang w:val="en-GB" w:eastAsia="en-GB"/>
        </w:rPr>
        <w:tab/>
      </w:r>
      <w:r w:rsidRPr="0012373D">
        <w:rPr>
          <w:rFonts w:cs="Arial"/>
        </w:rPr>
        <w:t>The existing RLC SN space is sufficient to support NTNs.</w:t>
      </w:r>
    </w:p>
    <w:p w14:paraId="7E7BA767" w14:textId="77777777" w:rsidR="00FF45CC" w:rsidRDefault="00FF45CC">
      <w:pPr>
        <w:pStyle w:val="TOC1"/>
        <w:rPr>
          <w:rFonts w:asciiTheme="minorHAnsi" w:eastAsiaTheme="minorEastAsia" w:hAnsiTheme="minorHAnsi" w:cstheme="minorBidi"/>
          <w:b w:val="0"/>
          <w:sz w:val="22"/>
          <w:lang w:val="en-GB" w:eastAsia="en-GB"/>
        </w:rPr>
      </w:pPr>
      <w:r w:rsidRPr="0012373D">
        <w:rPr>
          <w:rFonts w:cs="Arial"/>
        </w:rPr>
        <w:t>Proposal 4</w:t>
      </w:r>
      <w:r>
        <w:rPr>
          <w:rFonts w:asciiTheme="minorHAnsi" w:eastAsiaTheme="minorEastAsia" w:hAnsiTheme="minorHAnsi" w:cstheme="minorBidi"/>
          <w:b w:val="0"/>
          <w:sz w:val="22"/>
          <w:lang w:val="en-GB" w:eastAsia="en-GB"/>
        </w:rPr>
        <w:tab/>
      </w:r>
      <w:r w:rsidRPr="0012373D">
        <w:rPr>
          <w:rFonts w:cs="Arial"/>
        </w:rPr>
        <w:t xml:space="preserve">There is no need to update </w:t>
      </w:r>
      <w:r w:rsidRPr="0012373D">
        <w:t>PDCP discardTimer and PDCP t-Reordering timer. RAN2 may revisit this conclusion if new QoS requirements (5QIs) are introduced by SA2.</w:t>
      </w:r>
    </w:p>
    <w:p w14:paraId="68D20470" w14:textId="77777777" w:rsidR="00FF45CC" w:rsidRDefault="00FF45CC">
      <w:pPr>
        <w:pStyle w:val="TOC1"/>
        <w:rPr>
          <w:rFonts w:asciiTheme="minorHAnsi" w:eastAsiaTheme="minorEastAsia" w:hAnsiTheme="minorHAnsi" w:cstheme="minorBidi"/>
          <w:b w:val="0"/>
          <w:sz w:val="22"/>
          <w:lang w:val="en-GB" w:eastAsia="en-GB"/>
        </w:rPr>
      </w:pPr>
      <w:r w:rsidRPr="0012373D">
        <w:rPr>
          <w:rFonts w:cs="Arial"/>
        </w:rPr>
        <w:t>Proposal 5</w:t>
      </w:r>
      <w:r>
        <w:rPr>
          <w:rFonts w:asciiTheme="minorHAnsi" w:eastAsiaTheme="minorEastAsia" w:hAnsiTheme="minorHAnsi" w:cstheme="minorBidi"/>
          <w:b w:val="0"/>
          <w:sz w:val="22"/>
          <w:lang w:val="en-GB" w:eastAsia="en-GB"/>
        </w:rPr>
        <w:tab/>
      </w:r>
      <w:r w:rsidRPr="0012373D">
        <w:rPr>
          <w:rFonts w:cs="Arial"/>
        </w:rPr>
        <w:t>The existing PDCP SN space is sufficient to support NTNs.</w:t>
      </w:r>
    </w:p>
    <w:p w14:paraId="6701EDD5" w14:textId="5C013DCA" w:rsidR="004C09E6" w:rsidRPr="000714AC" w:rsidRDefault="004C09E6" w:rsidP="004C09E6">
      <w:pPr>
        <w:pStyle w:val="BodyText"/>
        <w:rPr>
          <w:lang w:val="en-US"/>
        </w:rPr>
      </w:pPr>
      <w:r w:rsidRPr="000714AC">
        <w:rPr>
          <w:rFonts w:cs="Arial"/>
          <w:b/>
          <w:bCs/>
          <w:lang w:val="en-US"/>
        </w:rPr>
        <w:fldChar w:fldCharType="end"/>
      </w:r>
      <w:bookmarkEnd w:id="176"/>
    </w:p>
    <w:p w14:paraId="500DEC14" w14:textId="77777777" w:rsidR="004C09E6" w:rsidRPr="000714AC" w:rsidRDefault="004C09E6" w:rsidP="004C09E6">
      <w:pPr>
        <w:pStyle w:val="Heading1"/>
        <w:rPr>
          <w:lang w:val="en-US"/>
        </w:rPr>
      </w:pPr>
      <w:bookmarkStart w:id="177" w:name="_In-sequence_SDU_delivery"/>
      <w:bookmarkEnd w:id="177"/>
      <w:r w:rsidRPr="000714AC">
        <w:rPr>
          <w:lang w:val="en-US"/>
        </w:rPr>
        <w:t>References</w:t>
      </w:r>
    </w:p>
    <w:p w14:paraId="4126A417" w14:textId="17F1550C" w:rsidR="004C09E6" w:rsidRPr="00445906" w:rsidRDefault="006A6737" w:rsidP="004C09E6">
      <w:pPr>
        <w:pStyle w:val="Reference"/>
        <w:rPr>
          <w:lang w:val="en-US"/>
        </w:rPr>
      </w:pPr>
      <w:bookmarkStart w:id="178" w:name="_Ref45534353"/>
      <w:bookmarkStart w:id="179" w:name="_Ref509923152"/>
      <w:bookmarkStart w:id="180" w:name="_Ref174151459"/>
      <w:bookmarkStart w:id="181" w:name="_Ref189809556"/>
      <w:r w:rsidRPr="00445906">
        <w:rPr>
          <w:rStyle w:val="normaltextrun"/>
          <w:lang w:val="en-US"/>
        </w:rPr>
        <w:t>TR 38.821 “Study on solutions for NR to support non-terrestrial networks”</w:t>
      </w:r>
      <w:bookmarkEnd w:id="178"/>
      <w:bookmarkEnd w:id="179"/>
    </w:p>
    <w:p w14:paraId="0271E49F" w14:textId="42813310" w:rsidR="004C09E6" w:rsidRPr="00445906" w:rsidRDefault="006A6737" w:rsidP="004C09E6">
      <w:pPr>
        <w:pStyle w:val="Reference"/>
        <w:rPr>
          <w:lang w:val="en-US"/>
        </w:rPr>
      </w:pPr>
      <w:bookmarkStart w:id="182" w:name="_Ref534127550"/>
      <w:bookmarkStart w:id="183" w:name="_Ref488061725"/>
      <w:bookmarkStart w:id="184" w:name="_Ref521659446"/>
      <w:bookmarkStart w:id="185" w:name="_Ref479756368"/>
      <w:bookmarkStart w:id="186" w:name="_Ref481486326"/>
      <w:bookmarkStart w:id="187" w:name="_Ref47442771"/>
      <w:bookmarkStart w:id="188" w:name="_Hlk47389899"/>
      <w:r w:rsidRPr="00445906">
        <w:rPr>
          <w:rStyle w:val="normaltextrun"/>
          <w:lang w:val="en-US"/>
        </w:rPr>
        <w:t>RP-</w:t>
      </w:r>
      <w:r w:rsidR="00445906">
        <w:rPr>
          <w:rStyle w:val="normaltextrun"/>
          <w:lang w:val="en-US"/>
        </w:rPr>
        <w:t>201256</w:t>
      </w:r>
      <w:r w:rsidRPr="00445906">
        <w:rPr>
          <w:rStyle w:val="normaltextrun"/>
          <w:lang w:val="en-US"/>
        </w:rPr>
        <w:t xml:space="preserve">, </w:t>
      </w:r>
      <w:r w:rsidR="00445906" w:rsidRPr="00445906">
        <w:rPr>
          <w:rStyle w:val="normaltextrun"/>
          <w:lang w:val="en-US"/>
        </w:rPr>
        <w:t>Solutions for NR to support non-terrestrial networks (NTN</w:t>
      </w:r>
      <w:r w:rsidR="00445906">
        <w:rPr>
          <w:rStyle w:val="normaltextrun"/>
          <w:lang w:val="en-US"/>
        </w:rPr>
        <w:t>)</w:t>
      </w:r>
      <w:r w:rsidRPr="00445906">
        <w:rPr>
          <w:rStyle w:val="normaltextrun"/>
          <w:lang w:val="en-US"/>
        </w:rPr>
        <w:t>”, Thales, RAN#8</w:t>
      </w:r>
      <w:r w:rsidR="00445906">
        <w:rPr>
          <w:rStyle w:val="normaltextrun"/>
          <w:lang w:val="en-US"/>
        </w:rPr>
        <w:t>8</w:t>
      </w:r>
      <w:r w:rsidRPr="00445906">
        <w:rPr>
          <w:rStyle w:val="normaltextrun"/>
          <w:lang w:val="en-US"/>
        </w:rPr>
        <w:t xml:space="preserve">, </w:t>
      </w:r>
      <w:r w:rsidR="00445906">
        <w:rPr>
          <w:rStyle w:val="normaltextrun"/>
          <w:lang w:val="en-US"/>
        </w:rPr>
        <w:t>e-Meeting</w:t>
      </w:r>
      <w:r w:rsidRPr="00445906">
        <w:rPr>
          <w:rStyle w:val="normaltextrun"/>
          <w:lang w:val="en-US"/>
        </w:rPr>
        <w:t xml:space="preserve">, </w:t>
      </w:r>
      <w:r w:rsidR="00445906">
        <w:rPr>
          <w:rStyle w:val="normaltextrun"/>
          <w:lang w:val="en-US"/>
        </w:rPr>
        <w:t>June</w:t>
      </w:r>
      <w:r w:rsidRPr="00445906">
        <w:rPr>
          <w:rStyle w:val="normaltextrun"/>
          <w:lang w:val="en-US"/>
        </w:rPr>
        <w:t xml:space="preserve"> 20</w:t>
      </w:r>
      <w:bookmarkEnd w:id="182"/>
      <w:bookmarkEnd w:id="183"/>
      <w:bookmarkEnd w:id="184"/>
      <w:bookmarkEnd w:id="185"/>
      <w:bookmarkEnd w:id="186"/>
      <w:r w:rsidR="00445906">
        <w:rPr>
          <w:rStyle w:val="normaltextrun"/>
          <w:lang w:val="en-US"/>
        </w:rPr>
        <w:t>20</w:t>
      </w:r>
      <w:bookmarkEnd w:id="187"/>
    </w:p>
    <w:bookmarkEnd w:id="180"/>
    <w:bookmarkEnd w:id="181"/>
    <w:bookmarkEnd w:id="188"/>
    <w:p w14:paraId="0CED339A" w14:textId="77777777" w:rsidR="00113DF0" w:rsidRPr="000714AC" w:rsidRDefault="00113DF0">
      <w:pPr>
        <w:rPr>
          <w:lang w:val="en-US"/>
        </w:rPr>
      </w:pPr>
    </w:p>
    <w:sectPr w:rsidR="00113DF0" w:rsidRPr="000714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7086"/>
    <w:multiLevelType w:val="hybridMultilevel"/>
    <w:tmpl w:val="43F21F7A"/>
    <w:lvl w:ilvl="0" w:tplc="E87804D0">
      <w:start w:val="1"/>
      <w:numFmt w:val="bullet"/>
      <w:lvlText w:val="—"/>
      <w:lvlJc w:val="left"/>
      <w:pPr>
        <w:tabs>
          <w:tab w:val="num" w:pos="720"/>
        </w:tabs>
        <w:ind w:left="720" w:hanging="360"/>
      </w:pPr>
      <w:rPr>
        <w:rFonts w:ascii="Ericsson Hilda Light" w:hAnsi="Ericsson Hilda Light" w:hint="default"/>
      </w:rPr>
    </w:lvl>
    <w:lvl w:ilvl="1" w:tplc="15A0EE0A">
      <w:start w:val="90"/>
      <w:numFmt w:val="bullet"/>
      <w:lvlText w:val="—"/>
      <w:lvlJc w:val="left"/>
      <w:pPr>
        <w:tabs>
          <w:tab w:val="num" w:pos="1440"/>
        </w:tabs>
        <w:ind w:left="1440" w:hanging="360"/>
      </w:pPr>
      <w:rPr>
        <w:rFonts w:ascii="Ericsson Hilda Light" w:hAnsi="Ericsson Hilda Light" w:hint="default"/>
      </w:rPr>
    </w:lvl>
    <w:lvl w:ilvl="2" w:tplc="B14A01BE">
      <w:start w:val="90"/>
      <w:numFmt w:val="bullet"/>
      <w:lvlText w:val="—"/>
      <w:lvlJc w:val="left"/>
      <w:pPr>
        <w:tabs>
          <w:tab w:val="num" w:pos="2160"/>
        </w:tabs>
        <w:ind w:left="2160" w:hanging="360"/>
      </w:pPr>
      <w:rPr>
        <w:rFonts w:ascii="Ericsson Hilda Light" w:hAnsi="Ericsson Hilda Light" w:hint="default"/>
      </w:rPr>
    </w:lvl>
    <w:lvl w:ilvl="3" w:tplc="518CB95E">
      <w:start w:val="90"/>
      <w:numFmt w:val="bullet"/>
      <w:lvlText w:val="—"/>
      <w:lvlJc w:val="left"/>
      <w:pPr>
        <w:tabs>
          <w:tab w:val="num" w:pos="2880"/>
        </w:tabs>
        <w:ind w:left="2880" w:hanging="360"/>
      </w:pPr>
      <w:rPr>
        <w:rFonts w:ascii="Ericsson Hilda Light" w:hAnsi="Ericsson Hilda Light" w:hint="default"/>
      </w:rPr>
    </w:lvl>
    <w:lvl w:ilvl="4" w:tplc="01E40886" w:tentative="1">
      <w:start w:val="1"/>
      <w:numFmt w:val="bullet"/>
      <w:lvlText w:val="—"/>
      <w:lvlJc w:val="left"/>
      <w:pPr>
        <w:tabs>
          <w:tab w:val="num" w:pos="3600"/>
        </w:tabs>
        <w:ind w:left="3600" w:hanging="360"/>
      </w:pPr>
      <w:rPr>
        <w:rFonts w:ascii="Ericsson Hilda Light" w:hAnsi="Ericsson Hilda Light" w:hint="default"/>
      </w:rPr>
    </w:lvl>
    <w:lvl w:ilvl="5" w:tplc="635C4A46" w:tentative="1">
      <w:start w:val="1"/>
      <w:numFmt w:val="bullet"/>
      <w:lvlText w:val="—"/>
      <w:lvlJc w:val="left"/>
      <w:pPr>
        <w:tabs>
          <w:tab w:val="num" w:pos="4320"/>
        </w:tabs>
        <w:ind w:left="4320" w:hanging="360"/>
      </w:pPr>
      <w:rPr>
        <w:rFonts w:ascii="Ericsson Hilda Light" w:hAnsi="Ericsson Hilda Light" w:hint="default"/>
      </w:rPr>
    </w:lvl>
    <w:lvl w:ilvl="6" w:tplc="E4EA87A8" w:tentative="1">
      <w:start w:val="1"/>
      <w:numFmt w:val="bullet"/>
      <w:lvlText w:val="—"/>
      <w:lvlJc w:val="left"/>
      <w:pPr>
        <w:tabs>
          <w:tab w:val="num" w:pos="5040"/>
        </w:tabs>
        <w:ind w:left="5040" w:hanging="360"/>
      </w:pPr>
      <w:rPr>
        <w:rFonts w:ascii="Ericsson Hilda Light" w:hAnsi="Ericsson Hilda Light" w:hint="default"/>
      </w:rPr>
    </w:lvl>
    <w:lvl w:ilvl="7" w:tplc="D9263C92" w:tentative="1">
      <w:start w:val="1"/>
      <w:numFmt w:val="bullet"/>
      <w:lvlText w:val="—"/>
      <w:lvlJc w:val="left"/>
      <w:pPr>
        <w:tabs>
          <w:tab w:val="num" w:pos="5760"/>
        </w:tabs>
        <w:ind w:left="5760" w:hanging="360"/>
      </w:pPr>
      <w:rPr>
        <w:rFonts w:ascii="Ericsson Hilda Light" w:hAnsi="Ericsson Hilda Light" w:hint="default"/>
      </w:rPr>
    </w:lvl>
    <w:lvl w:ilvl="8" w:tplc="210EA100"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F42FFF"/>
    <w:multiLevelType w:val="multilevel"/>
    <w:tmpl w:val="11124B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FA00D6"/>
    <w:multiLevelType w:val="hybridMultilevel"/>
    <w:tmpl w:val="6E8ED290"/>
    <w:lvl w:ilvl="0" w:tplc="B1EE9054">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C9094B"/>
    <w:multiLevelType w:val="hybridMultilevel"/>
    <w:tmpl w:val="5E2E9D2A"/>
    <w:lvl w:ilvl="0" w:tplc="9C32CDF2">
      <w:start w:val="5"/>
      <w:numFmt w:val="bullet"/>
      <w:lvlText w:val="-"/>
      <w:lvlJc w:val="left"/>
      <w:pPr>
        <w:ind w:left="644" w:hanging="360"/>
      </w:pPr>
      <w:rPr>
        <w:rFonts w:ascii="Arial" w:eastAsiaTheme="minorHAnsi"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AA33C35"/>
    <w:multiLevelType w:val="hybridMultilevel"/>
    <w:tmpl w:val="C152D758"/>
    <w:lvl w:ilvl="0" w:tplc="CA6C3F74">
      <w:start w:val="1"/>
      <w:numFmt w:val="decimal"/>
      <w:lvlText w:val="%1."/>
      <w:lvlJc w:val="left"/>
      <w:pPr>
        <w:ind w:left="1619" w:hanging="360"/>
      </w:pPr>
      <w:rPr>
        <w:rFonts w:hint="default"/>
        <w:b w:val="0"/>
        <w:bCs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A80425"/>
    <w:multiLevelType w:val="hybridMultilevel"/>
    <w:tmpl w:val="4D10B366"/>
    <w:lvl w:ilvl="0" w:tplc="B1CC78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0F5A1012"/>
    <w:multiLevelType w:val="multilevel"/>
    <w:tmpl w:val="4FE42F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C90D42"/>
    <w:multiLevelType w:val="hybridMultilevel"/>
    <w:tmpl w:val="DD30F836"/>
    <w:lvl w:ilvl="0" w:tplc="E430CBC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9208F0"/>
    <w:multiLevelType w:val="hybridMultilevel"/>
    <w:tmpl w:val="8F4831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69C664D"/>
    <w:multiLevelType w:val="hybridMultilevel"/>
    <w:tmpl w:val="B0A67D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0FB5628"/>
    <w:multiLevelType w:val="multilevel"/>
    <w:tmpl w:val="79927044"/>
    <w:lvl w:ilvl="0">
      <w:start w:val="1"/>
      <w:numFmt w:val="decimal"/>
      <w:lvlText w:val="%1."/>
      <w:lvlJc w:val="left"/>
      <w:pPr>
        <w:ind w:left="360" w:hanging="360"/>
      </w:pPr>
      <w:rPr>
        <w:rFonts w:ascii="Arial" w:eastAsia="Times New Roman" w:hAnsi="Arial" w:cs="Times New Roman"/>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5AD7891"/>
    <w:multiLevelType w:val="hybridMultilevel"/>
    <w:tmpl w:val="86280E4E"/>
    <w:lvl w:ilvl="0" w:tplc="8AFA38F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F4724C"/>
    <w:multiLevelType w:val="hybridMultilevel"/>
    <w:tmpl w:val="9DB6B528"/>
    <w:lvl w:ilvl="0" w:tplc="D1F2E90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6E7580"/>
    <w:multiLevelType w:val="hybridMultilevel"/>
    <w:tmpl w:val="A6C45A60"/>
    <w:lvl w:ilvl="0" w:tplc="BD088C4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80583424">
      <w:start w:val="2"/>
      <w:numFmt w:val="bullet"/>
      <w:lvlText w:val=""/>
      <w:lvlJc w:val="left"/>
      <w:pPr>
        <w:ind w:left="2160" w:hanging="360"/>
      </w:pPr>
      <w:rPr>
        <w:rFonts w:ascii="Symbol" w:eastAsia="Times New Roman" w:hAnsi="Symbol"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3963DD6"/>
    <w:multiLevelType w:val="hybridMultilevel"/>
    <w:tmpl w:val="EC18D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4D757FF"/>
    <w:multiLevelType w:val="hybridMultilevel"/>
    <w:tmpl w:val="29DE9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A723B74"/>
    <w:multiLevelType w:val="multilevel"/>
    <w:tmpl w:val="FF3AF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1"/>
  </w:num>
  <w:num w:numId="3">
    <w:abstractNumId w:val="17"/>
  </w:num>
  <w:num w:numId="4">
    <w:abstractNumId w:val="14"/>
  </w:num>
  <w:num w:numId="5">
    <w:abstractNumId w:val="19"/>
  </w:num>
  <w:num w:numId="6">
    <w:abstractNumId w:val="12"/>
  </w:num>
  <w:num w:numId="7">
    <w:abstractNumId w:val="10"/>
  </w:num>
  <w:num w:numId="8">
    <w:abstractNumId w:val="22"/>
  </w:num>
  <w:num w:numId="9">
    <w:abstractNumId w:val="6"/>
  </w:num>
  <w:num w:numId="10">
    <w:abstractNumId w:val="20"/>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
  </w:num>
  <w:num w:numId="14">
    <w:abstractNumId w:val="24"/>
  </w:num>
  <w:num w:numId="15">
    <w:abstractNumId w:val="8"/>
  </w:num>
  <w:num w:numId="16">
    <w:abstractNumId w:val="18"/>
  </w:num>
  <w:num w:numId="17">
    <w:abstractNumId w:val="11"/>
  </w:num>
  <w:num w:numId="18">
    <w:abstractNumId w:val="0"/>
  </w:num>
  <w:num w:numId="19">
    <w:abstractNumId w:val="3"/>
  </w:num>
  <w:num w:numId="20">
    <w:abstractNumId w:val="13"/>
  </w:num>
  <w:num w:numId="21">
    <w:abstractNumId w:val="4"/>
  </w:num>
  <w:num w:numId="22">
    <w:abstractNumId w:val="23"/>
  </w:num>
  <w:num w:numId="23">
    <w:abstractNumId w:val="18"/>
  </w:num>
  <w:num w:numId="24">
    <w:abstractNumId w:val="15"/>
  </w:num>
  <w:num w:numId="25">
    <w:abstractNumId w:val="9"/>
  </w:num>
  <w:num w:numId="26">
    <w:abstractNumId w:val="7"/>
  </w:num>
  <w:num w:numId="27">
    <w:abstractNumId w:val="21"/>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1939"/>
    <w:rsid w:val="00041837"/>
    <w:rsid w:val="000554EE"/>
    <w:rsid w:val="000631E5"/>
    <w:rsid w:val="00066117"/>
    <w:rsid w:val="00066C0E"/>
    <w:rsid w:val="000714AC"/>
    <w:rsid w:val="00087B6E"/>
    <w:rsid w:val="00097E22"/>
    <w:rsid w:val="000A191F"/>
    <w:rsid w:val="000A3C05"/>
    <w:rsid w:val="000C35EB"/>
    <w:rsid w:val="000D7FF6"/>
    <w:rsid w:val="000F096B"/>
    <w:rsid w:val="000F50FE"/>
    <w:rsid w:val="001106C0"/>
    <w:rsid w:val="00113DF0"/>
    <w:rsid w:val="00130DB2"/>
    <w:rsid w:val="00135C67"/>
    <w:rsid w:val="00143A4F"/>
    <w:rsid w:val="00163A3C"/>
    <w:rsid w:val="00165DEC"/>
    <w:rsid w:val="00170ECF"/>
    <w:rsid w:val="001816E3"/>
    <w:rsid w:val="001A2655"/>
    <w:rsid w:val="001C71BD"/>
    <w:rsid w:val="001D2A36"/>
    <w:rsid w:val="001D52C6"/>
    <w:rsid w:val="001E7EE5"/>
    <w:rsid w:val="001F56D6"/>
    <w:rsid w:val="0020763F"/>
    <w:rsid w:val="002165A1"/>
    <w:rsid w:val="0022447D"/>
    <w:rsid w:val="0023200A"/>
    <w:rsid w:val="00232A40"/>
    <w:rsid w:val="00236160"/>
    <w:rsid w:val="00251F2F"/>
    <w:rsid w:val="00273BB5"/>
    <w:rsid w:val="00280383"/>
    <w:rsid w:val="00297062"/>
    <w:rsid w:val="002A6BCA"/>
    <w:rsid w:val="002B4BF2"/>
    <w:rsid w:val="002B50B0"/>
    <w:rsid w:val="002C011C"/>
    <w:rsid w:val="002C5C35"/>
    <w:rsid w:val="002D7BDD"/>
    <w:rsid w:val="002E122B"/>
    <w:rsid w:val="002E3B8B"/>
    <w:rsid w:val="002E4735"/>
    <w:rsid w:val="002E5101"/>
    <w:rsid w:val="002F17DB"/>
    <w:rsid w:val="00303FD7"/>
    <w:rsid w:val="00307CE7"/>
    <w:rsid w:val="0032670D"/>
    <w:rsid w:val="00326E62"/>
    <w:rsid w:val="003403BB"/>
    <w:rsid w:val="0034362C"/>
    <w:rsid w:val="00351BC0"/>
    <w:rsid w:val="00352687"/>
    <w:rsid w:val="00373105"/>
    <w:rsid w:val="00382769"/>
    <w:rsid w:val="0039654C"/>
    <w:rsid w:val="003B2340"/>
    <w:rsid w:val="003B28C5"/>
    <w:rsid w:val="003C2EF0"/>
    <w:rsid w:val="003D60ED"/>
    <w:rsid w:val="003E18AF"/>
    <w:rsid w:val="003E470A"/>
    <w:rsid w:val="003E47CB"/>
    <w:rsid w:val="00416B1A"/>
    <w:rsid w:val="00423953"/>
    <w:rsid w:val="0044051C"/>
    <w:rsid w:val="00445906"/>
    <w:rsid w:val="0046708B"/>
    <w:rsid w:val="0046750B"/>
    <w:rsid w:val="004728E2"/>
    <w:rsid w:val="00480D20"/>
    <w:rsid w:val="00484570"/>
    <w:rsid w:val="00492AD3"/>
    <w:rsid w:val="00493802"/>
    <w:rsid w:val="004C09E6"/>
    <w:rsid w:val="004C6D91"/>
    <w:rsid w:val="004D3017"/>
    <w:rsid w:val="004D53AE"/>
    <w:rsid w:val="004E07A8"/>
    <w:rsid w:val="004E4AAE"/>
    <w:rsid w:val="0050138E"/>
    <w:rsid w:val="0050667E"/>
    <w:rsid w:val="00512515"/>
    <w:rsid w:val="005427F1"/>
    <w:rsid w:val="00576AAF"/>
    <w:rsid w:val="00596556"/>
    <w:rsid w:val="005B0FF4"/>
    <w:rsid w:val="005F0648"/>
    <w:rsid w:val="005F4524"/>
    <w:rsid w:val="005F7B78"/>
    <w:rsid w:val="0060193B"/>
    <w:rsid w:val="0060382B"/>
    <w:rsid w:val="00622EC8"/>
    <w:rsid w:val="006456B9"/>
    <w:rsid w:val="00662C6B"/>
    <w:rsid w:val="006639C2"/>
    <w:rsid w:val="006713BF"/>
    <w:rsid w:val="006814A9"/>
    <w:rsid w:val="006A1891"/>
    <w:rsid w:val="006A3315"/>
    <w:rsid w:val="006A6737"/>
    <w:rsid w:val="006D08B5"/>
    <w:rsid w:val="006D1026"/>
    <w:rsid w:val="006D1224"/>
    <w:rsid w:val="006D5C88"/>
    <w:rsid w:val="006E2814"/>
    <w:rsid w:val="006F3F3B"/>
    <w:rsid w:val="00715717"/>
    <w:rsid w:val="007164A6"/>
    <w:rsid w:val="007470FB"/>
    <w:rsid w:val="0075518E"/>
    <w:rsid w:val="0076096E"/>
    <w:rsid w:val="00765E68"/>
    <w:rsid w:val="00787374"/>
    <w:rsid w:val="007922F7"/>
    <w:rsid w:val="007A76FB"/>
    <w:rsid w:val="007B155D"/>
    <w:rsid w:val="007C6626"/>
    <w:rsid w:val="007D0BD4"/>
    <w:rsid w:val="007E04CB"/>
    <w:rsid w:val="007F5E86"/>
    <w:rsid w:val="007F7A2D"/>
    <w:rsid w:val="00830536"/>
    <w:rsid w:val="00845300"/>
    <w:rsid w:val="008812F5"/>
    <w:rsid w:val="00894A89"/>
    <w:rsid w:val="008C65E3"/>
    <w:rsid w:val="008D336E"/>
    <w:rsid w:val="009064C7"/>
    <w:rsid w:val="009121B0"/>
    <w:rsid w:val="009124C4"/>
    <w:rsid w:val="00912BF9"/>
    <w:rsid w:val="00926846"/>
    <w:rsid w:val="009409EB"/>
    <w:rsid w:val="00951C9E"/>
    <w:rsid w:val="009541EE"/>
    <w:rsid w:val="00991A3F"/>
    <w:rsid w:val="009C28AB"/>
    <w:rsid w:val="009E1D51"/>
    <w:rsid w:val="009E2299"/>
    <w:rsid w:val="009E3EF6"/>
    <w:rsid w:val="009E62F6"/>
    <w:rsid w:val="009F09AD"/>
    <w:rsid w:val="009F1B50"/>
    <w:rsid w:val="00A07DCA"/>
    <w:rsid w:val="00A1028A"/>
    <w:rsid w:val="00A11BD9"/>
    <w:rsid w:val="00A17F56"/>
    <w:rsid w:val="00A27876"/>
    <w:rsid w:val="00A44175"/>
    <w:rsid w:val="00A6591B"/>
    <w:rsid w:val="00A67CE1"/>
    <w:rsid w:val="00A762DF"/>
    <w:rsid w:val="00A93CA7"/>
    <w:rsid w:val="00A964DE"/>
    <w:rsid w:val="00AD3461"/>
    <w:rsid w:val="00AF0BA6"/>
    <w:rsid w:val="00AF2B32"/>
    <w:rsid w:val="00B05B72"/>
    <w:rsid w:val="00B11C07"/>
    <w:rsid w:val="00B35A72"/>
    <w:rsid w:val="00B45848"/>
    <w:rsid w:val="00B571BB"/>
    <w:rsid w:val="00B7657F"/>
    <w:rsid w:val="00B80079"/>
    <w:rsid w:val="00B92BC5"/>
    <w:rsid w:val="00BB2323"/>
    <w:rsid w:val="00BC0105"/>
    <w:rsid w:val="00BE2C48"/>
    <w:rsid w:val="00BE6696"/>
    <w:rsid w:val="00C00918"/>
    <w:rsid w:val="00C053E4"/>
    <w:rsid w:val="00C34056"/>
    <w:rsid w:val="00C47EBC"/>
    <w:rsid w:val="00C71BE2"/>
    <w:rsid w:val="00C75EDD"/>
    <w:rsid w:val="00C94DF3"/>
    <w:rsid w:val="00C95117"/>
    <w:rsid w:val="00CA581D"/>
    <w:rsid w:val="00CB5B60"/>
    <w:rsid w:val="00CB772B"/>
    <w:rsid w:val="00CD026D"/>
    <w:rsid w:val="00CF55D9"/>
    <w:rsid w:val="00CF5EC8"/>
    <w:rsid w:val="00D03C60"/>
    <w:rsid w:val="00D1631B"/>
    <w:rsid w:val="00D37899"/>
    <w:rsid w:val="00D37E62"/>
    <w:rsid w:val="00D40FD0"/>
    <w:rsid w:val="00D43600"/>
    <w:rsid w:val="00D47949"/>
    <w:rsid w:val="00D504D9"/>
    <w:rsid w:val="00D54991"/>
    <w:rsid w:val="00D71639"/>
    <w:rsid w:val="00D87FEC"/>
    <w:rsid w:val="00DB2C71"/>
    <w:rsid w:val="00DE6681"/>
    <w:rsid w:val="00DE695D"/>
    <w:rsid w:val="00DE6B40"/>
    <w:rsid w:val="00E005F8"/>
    <w:rsid w:val="00E03828"/>
    <w:rsid w:val="00E159DB"/>
    <w:rsid w:val="00E30B7A"/>
    <w:rsid w:val="00E34F1B"/>
    <w:rsid w:val="00E50640"/>
    <w:rsid w:val="00E5695F"/>
    <w:rsid w:val="00E57ACF"/>
    <w:rsid w:val="00E65FDD"/>
    <w:rsid w:val="00E712FA"/>
    <w:rsid w:val="00E8048C"/>
    <w:rsid w:val="00E87CCC"/>
    <w:rsid w:val="00EC6A60"/>
    <w:rsid w:val="00EC71FB"/>
    <w:rsid w:val="00ED28BF"/>
    <w:rsid w:val="00EE1D4E"/>
    <w:rsid w:val="00EE5E4D"/>
    <w:rsid w:val="00EF0B0E"/>
    <w:rsid w:val="00EF4BBC"/>
    <w:rsid w:val="00F00805"/>
    <w:rsid w:val="00F33AF2"/>
    <w:rsid w:val="00F61C6D"/>
    <w:rsid w:val="00F90E00"/>
    <w:rsid w:val="00FB22EC"/>
    <w:rsid w:val="00FB2F33"/>
    <w:rsid w:val="00FC3255"/>
    <w:rsid w:val="00FC6EAF"/>
    <w:rsid w:val="00FE4BEB"/>
    <w:rsid w:val="00FF2AD6"/>
    <w:rsid w:val="00FF4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E54E5"/>
  <w15:chartTrackingRefBased/>
  <w15:docId w15:val="{4F324A21-78A8-4B1F-A0F9-77F7C70A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FD0"/>
    <w:rPr>
      <w:rFonts w:ascii="Arial" w:hAnsi="Arial"/>
      <w:sz w:val="20"/>
    </w:rPr>
  </w:style>
  <w:style w:type="paragraph" w:styleId="Heading1">
    <w:name w:val="heading 1"/>
    <w:next w:val="Normal"/>
    <w:link w:val="Heading1Char"/>
    <w:qFormat/>
    <w:rsid w:val="004C09E6"/>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2"/>
      </w:numPr>
      <w:overflowPunct w:val="0"/>
      <w:autoSpaceDE w:val="0"/>
      <w:autoSpaceDN w:val="0"/>
      <w:adjustRightInd w:val="0"/>
      <w:spacing w:before="120" w:after="120" w:line="240" w:lineRule="auto"/>
      <w:jc w:val="both"/>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4C09E6"/>
    <w:pPr>
      <w:keepNext/>
      <w:keepLines/>
      <w:numPr>
        <w:ilvl w:val="6"/>
        <w:numId w:val="2"/>
      </w:numPr>
      <w:overflowPunct w:val="0"/>
      <w:autoSpaceDE w:val="0"/>
      <w:autoSpaceDN w:val="0"/>
      <w:adjustRightInd w:val="0"/>
      <w:spacing w:before="120" w:after="120" w:line="240" w:lineRule="auto"/>
      <w:jc w:val="both"/>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val="en-GB"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Reference">
    <w:name w:val="Reference"/>
    <w:basedOn w:val="Normal"/>
    <w:link w:val="ReferenceChar"/>
    <w:rsid w:val="004C09E6"/>
    <w:pPr>
      <w:numPr>
        <w:numId w:val="3"/>
      </w:num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4"/>
      </w:numPr>
      <w:tabs>
        <w:tab w:val="clear" w:pos="1304"/>
        <w:tab w:val="left" w:pos="1701"/>
      </w:tabs>
      <w:overflowPunct w:val="0"/>
      <w:autoSpaceDE w:val="0"/>
      <w:autoSpaceDN w:val="0"/>
      <w:adjustRightInd w:val="0"/>
      <w:spacing w:after="120" w:line="240" w:lineRule="auto"/>
      <w:ind w:left="1701" w:hanging="1701"/>
      <w:jc w:val="both"/>
      <w:textAlignment w:val="baseline"/>
    </w:pPr>
    <w:rPr>
      <w:rFonts w:eastAsia="Times New Roman" w:cs="Times New Roman"/>
      <w:b/>
      <w:bCs/>
      <w:szCs w:val="20"/>
      <w:lang w:val="en-GB" w:eastAsia="zh-CN"/>
    </w:rPr>
  </w:style>
  <w:style w:type="paragraph" w:customStyle="1" w:styleId="Observation">
    <w:name w:val="Observation"/>
    <w:basedOn w:val="Proposal"/>
    <w:qFormat/>
    <w:rsid w:val="004C09E6"/>
    <w:pPr>
      <w:numPr>
        <w:numId w:val="5"/>
      </w:numPr>
      <w:ind w:left="1701" w:hanging="1701"/>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val="en-GB"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val="en-GB" w:eastAsia="zh-CN"/>
    </w:rPr>
  </w:style>
  <w:style w:type="paragraph" w:customStyle="1" w:styleId="B2">
    <w:name w:val="B2"/>
    <w:basedOn w:val="List2"/>
    <w:link w:val="B2Char"/>
    <w:qFormat/>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3">
    <w:name w:val="B3"/>
    <w:basedOn w:val="List3"/>
    <w:link w:val="B3Char2"/>
    <w:qFormat/>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4">
    <w:name w:val="B4"/>
    <w:basedOn w:val="List4"/>
    <w:link w:val="B4Char"/>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val="en-GB"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rsid w:val="000F096B"/>
    <w:rPr>
      <w:rFonts w:ascii="Times New Roman" w:eastAsia="Times New Roman" w:hAnsi="Times New Roman" w:cs="Times New Roman"/>
      <w:sz w:val="20"/>
      <w:szCs w:val="20"/>
      <w:lang w:val="en-GB" w:eastAsia="ja-JP"/>
    </w:rPr>
  </w:style>
  <w:style w:type="table" w:styleId="TableGrid">
    <w:name w:val="Table Grid"/>
    <w:basedOn w:val="TableNormal"/>
    <w:uiPriority w:val="39"/>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TF">
    <w:name w:val="TF"/>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semiHidden/>
    <w:unhideWhenUsed/>
    <w:rsid w:val="00D40FD0"/>
    <w:pPr>
      <w:spacing w:line="240" w:lineRule="auto"/>
    </w:pPr>
    <w:rPr>
      <w:szCs w:val="20"/>
    </w:rPr>
  </w:style>
  <w:style w:type="character" w:customStyle="1" w:styleId="CommentTextChar">
    <w:name w:val="Comment Text Char"/>
    <w:basedOn w:val="DefaultParagraphFont"/>
    <w:link w:val="CommentText"/>
    <w:uiPriority w:val="99"/>
    <w:semiHidden/>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qFormat/>
    <w:rsid w:val="00DE695D"/>
    <w:rPr>
      <w:rFonts w:asciiTheme="minorHAnsi" w:eastAsiaTheme="minorHAnsi" w:hAnsiTheme="minorHAnsi" w:cstheme="minorBidi"/>
      <w:sz w:val="22"/>
      <w:szCs w:val="22"/>
      <w:lang w:val="sv-SE"/>
    </w:rPr>
  </w:style>
  <w:style w:type="paragraph" w:customStyle="1" w:styleId="IvDbodytext">
    <w:name w:val="IvD bodytext"/>
    <w:basedOn w:val="BodyText"/>
    <w:link w:val="IvDbodytextChar"/>
    <w:qFormat/>
    <w:rsid w:val="0046708B"/>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textAlignment w:val="auto"/>
    </w:pPr>
    <w:rPr>
      <w:rFonts w:eastAsiaTheme="minorHAnsi" w:cstheme="minorBidi"/>
      <w:spacing w:val="2"/>
      <w:sz w:val="22"/>
      <w:szCs w:val="22"/>
      <w:lang w:val="sv-SE" w:eastAsia="en-US"/>
    </w:rPr>
  </w:style>
  <w:style w:type="character" w:customStyle="1" w:styleId="IvDbodytextChar">
    <w:name w:val="IvD bodytext Char"/>
    <w:basedOn w:val="DefaultParagraphFont"/>
    <w:link w:val="IvDbodytext"/>
    <w:rsid w:val="0046708B"/>
    <w:rPr>
      <w:rFonts w:ascii="Arial" w:hAnsi="Arial"/>
      <w:spacing w:val="2"/>
    </w:rPr>
  </w:style>
  <w:style w:type="paragraph" w:styleId="Revision">
    <w:name w:val="Revision"/>
    <w:hidden/>
    <w:uiPriority w:val="99"/>
    <w:semiHidden/>
    <w:rsid w:val="00E65FDD"/>
    <w:pPr>
      <w:spacing w:after="0" w:line="240" w:lineRule="auto"/>
    </w:pPr>
    <w:rPr>
      <w:rFonts w:ascii="Arial" w:hAnsi="Arial"/>
      <w:sz w:val="20"/>
    </w:rPr>
  </w:style>
  <w:style w:type="paragraph" w:customStyle="1" w:styleId="Comments">
    <w:name w:val="Comments"/>
    <w:basedOn w:val="Normal"/>
    <w:link w:val="CommentsChar"/>
    <w:qFormat/>
    <w:rsid w:val="00EE5E4D"/>
    <w:pPr>
      <w:spacing w:before="40" w:after="0" w:line="240" w:lineRule="auto"/>
    </w:pPr>
    <w:rPr>
      <w:rFonts w:eastAsia="MS Mincho" w:cs="Times New Roman"/>
      <w:i/>
      <w:noProof/>
      <w:sz w:val="18"/>
      <w:szCs w:val="24"/>
      <w:lang w:val="en-GB" w:eastAsia="en-GB"/>
    </w:rPr>
  </w:style>
  <w:style w:type="character" w:customStyle="1" w:styleId="CommentsChar">
    <w:name w:val="Comments Char"/>
    <w:link w:val="Comments"/>
    <w:qFormat/>
    <w:rsid w:val="00EE5E4D"/>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EE5E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326370084">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sChild>
    </w:div>
    <w:div w:id="428698086">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518199192">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84153037">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sChild>
    </w:div>
    <w:div w:id="702440052">
      <w:bodyDiv w:val="1"/>
      <w:marLeft w:val="0"/>
      <w:marRight w:val="0"/>
      <w:marTop w:val="0"/>
      <w:marBottom w:val="0"/>
      <w:divBdr>
        <w:top w:val="none" w:sz="0" w:space="0" w:color="auto"/>
        <w:left w:val="none" w:sz="0" w:space="0" w:color="auto"/>
        <w:bottom w:val="none" w:sz="0" w:space="0" w:color="auto"/>
        <w:right w:val="none" w:sz="0" w:space="0" w:color="auto"/>
      </w:divBdr>
    </w:div>
    <w:div w:id="744381231">
      <w:bodyDiv w:val="1"/>
      <w:marLeft w:val="0"/>
      <w:marRight w:val="0"/>
      <w:marTop w:val="0"/>
      <w:marBottom w:val="0"/>
      <w:divBdr>
        <w:top w:val="none" w:sz="0" w:space="0" w:color="auto"/>
        <w:left w:val="none" w:sz="0" w:space="0" w:color="auto"/>
        <w:bottom w:val="none" w:sz="0" w:space="0" w:color="auto"/>
        <w:right w:val="none" w:sz="0" w:space="0" w:color="auto"/>
      </w:divBdr>
    </w:div>
    <w:div w:id="855460938">
      <w:bodyDiv w:val="1"/>
      <w:marLeft w:val="0"/>
      <w:marRight w:val="0"/>
      <w:marTop w:val="0"/>
      <w:marBottom w:val="0"/>
      <w:divBdr>
        <w:top w:val="none" w:sz="0" w:space="0" w:color="auto"/>
        <w:left w:val="none" w:sz="0" w:space="0" w:color="auto"/>
        <w:bottom w:val="none" w:sz="0" w:space="0" w:color="auto"/>
        <w:right w:val="none" w:sz="0" w:space="0" w:color="auto"/>
      </w:divBdr>
    </w:div>
    <w:div w:id="1121803675">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 w:id="157772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9045930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1983584198">
          <w:marLeft w:val="547"/>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267395210">
          <w:marLeft w:val="1080"/>
          <w:marRight w:val="0"/>
          <w:marTop w:val="60"/>
          <w:marBottom w:val="0"/>
          <w:divBdr>
            <w:top w:val="none" w:sz="0" w:space="0" w:color="auto"/>
            <w:left w:val="none" w:sz="0" w:space="0" w:color="auto"/>
            <w:bottom w:val="none" w:sz="0" w:space="0" w:color="auto"/>
            <w:right w:val="none" w:sz="0" w:space="0" w:color="auto"/>
          </w:divBdr>
        </w:div>
      </w:divsChild>
    </w:div>
    <w:div w:id="1759329667">
      <w:bodyDiv w:val="1"/>
      <w:marLeft w:val="0"/>
      <w:marRight w:val="0"/>
      <w:marTop w:val="0"/>
      <w:marBottom w:val="0"/>
      <w:divBdr>
        <w:top w:val="none" w:sz="0" w:space="0" w:color="auto"/>
        <w:left w:val="none" w:sz="0" w:space="0" w:color="auto"/>
        <w:bottom w:val="none" w:sz="0" w:space="0" w:color="auto"/>
        <w:right w:val="none" w:sz="0" w:space="0" w:color="auto"/>
      </w:divBdr>
    </w:div>
    <w:div w:id="1901286156">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DBB721-E044-4D2F-93DC-3FEB6084161C}">
  <ds:schemaRefs>
    <ds:schemaRef ds:uri="http://schemas.microsoft.com/sharepoint/v3/contenttype/forms"/>
  </ds:schemaRefs>
</ds:datastoreItem>
</file>

<file path=customXml/itemProps2.xml><?xml version="1.0" encoding="utf-8"?>
<ds:datastoreItem xmlns:ds="http://schemas.openxmlformats.org/officeDocument/2006/customXml" ds:itemID="{F8EA6F8A-E51B-4E79-A84B-4F0DD57DD2E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435FC3B-5A82-478F-B4EF-C129C0584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1232</TotalTime>
  <Pages>3</Pages>
  <Words>1265</Words>
  <Characters>7214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18</cp:revision>
  <cp:lastPrinted>2020-10-14T07:05:00Z</cp:lastPrinted>
  <dcterms:created xsi:type="dcterms:W3CDTF">2020-10-13T14:31:00Z</dcterms:created>
  <dcterms:modified xsi:type="dcterms:W3CDTF">2020-10-22T22:39:00Z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